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DC0F25" w:rsidRPr="00DC0F25" w:rsidTr="00911CEF">
        <w:tc>
          <w:tcPr>
            <w:tcW w:w="5221" w:type="dxa"/>
          </w:tcPr>
          <w:p w:rsidR="00DC0F25" w:rsidRPr="00DC0F25" w:rsidRDefault="00DC0F25" w:rsidP="00DC0F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викладач</w:t>
            </w:r>
          </w:p>
        </w:tc>
        <w:tc>
          <w:tcPr>
            <w:tcW w:w="875" w:type="dxa"/>
          </w:tcPr>
          <w:p w:rsidR="00DC0F25" w:rsidRPr="00DC0F25" w:rsidRDefault="00DC0F25" w:rsidP="00DC0F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DC0F25" w:rsidRPr="00DC0F25" w:rsidRDefault="00DC0F25" w:rsidP="00DC0F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 </w:t>
            </w:r>
            <w:proofErr w:type="spellStart"/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</w:t>
            </w:r>
            <w:proofErr w:type="spellEnd"/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0F25" w:rsidRPr="00DC0F25" w:rsidRDefault="00DC0F25" w:rsidP="00DC0F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</w:t>
            </w:r>
            <w:proofErr w:type="spellEnd"/>
            <w:r w:rsidRPr="00DC0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1.6)</w:t>
            </w:r>
          </w:p>
        </w:tc>
      </w:tr>
    </w:tbl>
    <w:p w:rsidR="00DC0F25" w:rsidRPr="00DC0F25" w:rsidRDefault="00DC0F25" w:rsidP="00DC0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F25" w:rsidRPr="00DC0F25" w:rsidRDefault="00DC0F25" w:rsidP="00DC0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F25">
        <w:rPr>
          <w:rFonts w:ascii="Times New Roman" w:hAnsi="Times New Roman" w:cs="Times New Roman"/>
          <w:b/>
          <w:sz w:val="28"/>
          <w:szCs w:val="28"/>
          <w:lang w:val="uk-UA"/>
        </w:rPr>
        <w:t>Навчання аудіювання монологічного мовлення</w:t>
      </w:r>
    </w:p>
    <w:p w:rsidR="0017783B" w:rsidRDefault="00DC0F25" w:rsidP="00DC0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F25">
        <w:rPr>
          <w:rFonts w:ascii="Times New Roman" w:hAnsi="Times New Roman" w:cs="Times New Roman"/>
          <w:b/>
          <w:sz w:val="28"/>
          <w:szCs w:val="28"/>
          <w:lang w:val="uk-UA"/>
        </w:rPr>
        <w:t>на уроках РМІ (початковий етап)</w:t>
      </w:r>
    </w:p>
    <w:p w:rsidR="00DC0F25" w:rsidRPr="00DC0F25" w:rsidRDefault="00DC0F25" w:rsidP="00DC0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1.6. </w:t>
      </w:r>
      <w:r w:rsidRPr="00D454C4">
        <w:rPr>
          <w:rFonts w:ascii="Times New Roman" w:hAnsi="Times New Roman" w:cs="Times New Roman"/>
          <w:sz w:val="28"/>
          <w:szCs w:val="28"/>
          <w:lang w:val="uk-UA"/>
        </w:rPr>
        <w:t xml:space="preserve">Термін «аудіювання» означає «слухання з розумінням».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мисленнєвим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спрямованим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упізнавання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у ВНЗ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підготовчому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Практика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пов`язана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цілої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низки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 тому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робота є складною і, на жаль,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>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5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ознайомчого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робота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підготовчому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підвиду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ознайомчого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корисну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жанрів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тематики  –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соціально-культурної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науково-популярної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суспільно-політичної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Зауважимо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ознайомче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обов`язкове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прослуханої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>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ж повинна бути система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текстами?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>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F25">
        <w:rPr>
          <w:rFonts w:ascii="Times New Roman" w:hAnsi="Times New Roman" w:cs="Times New Roman"/>
          <w:sz w:val="28"/>
          <w:szCs w:val="28"/>
        </w:rPr>
        <w:lastRenderedPageBreak/>
        <w:t>Насамперед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ціла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корисну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узгоджуватись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життєвим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бути просто 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побудованими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надлишкові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вставні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парафрази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повтори, паузи).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презентуються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знайомому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нова лексика. При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– кожного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О,5 %.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росте 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другого семестру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підготовчого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слух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аудіоповідомлення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800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>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5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у три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передтекстової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тесту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післятекстової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>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методики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передтекстової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темою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тексту; в)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здогаду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темою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викладачеві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короткої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зорієнтувати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нового тексту.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лексичної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дізнаються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іноземців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словотворчого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інтернаціональних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контексту,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здогаду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семантизує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слова в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lastRenderedPageBreak/>
        <w:t>аудиторії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слова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 і тому не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передтекстовому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семантизуються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Робота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лексики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5">
        <w:rPr>
          <w:rFonts w:ascii="Times New Roman" w:hAnsi="Times New Roman" w:cs="Times New Roman"/>
          <w:sz w:val="28"/>
          <w:szCs w:val="28"/>
        </w:rPr>
        <w:t xml:space="preserve">Другою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стадією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настанова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притекстового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акцентує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реципієнта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тексту, а 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Природньо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притекстове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орієнтує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Детальне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другорядної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притекстового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розумову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запам`ятовування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уважного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>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Заключним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післятекстовий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мета –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контролюється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притекстового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тексту, а 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замкненої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Нагадаємо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складу таких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неправильних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стверджень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відповідностей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післятекстової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семантизує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незнайому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студентам лексику, яка не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lastRenderedPageBreak/>
        <w:t>ключовою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 короткий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прослуханого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тексту з опорою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лексику.</w:t>
      </w:r>
    </w:p>
    <w:p w:rsidR="00DC0F25" w:rsidRPr="00DC0F25" w:rsidRDefault="00DC0F25" w:rsidP="00DC0F2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0F25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орієнтоване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ознайомчого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монологічних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повинно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структуру.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Природньо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якісними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навчально-методичними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увійти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короткочасної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довгочасної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пам`яті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антиципації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вірогіднісного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насамкінець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аудіотексту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цілеспрямована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C0F25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454C4" w:rsidRDefault="00D454C4" w:rsidP="00D454C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54C4" w:rsidRPr="00D454C4" w:rsidRDefault="00D454C4" w:rsidP="00D454C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ПОСИЛАНЬ</w:t>
      </w:r>
    </w:p>
    <w:p w:rsidR="00D454C4" w:rsidRPr="00D454C4" w:rsidRDefault="00D454C4" w:rsidP="00D454C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Людмила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Шепелевич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Рус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з. курсы, 2002. – 298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Капитоно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Людмила Московкина, Александр Щукин. – М.: Рус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з. курсы, 2008. – 312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Гейченко Е. И., Учебная дискуссия – способ творческого развития навыков неподготовленной речи / Екатерина Гейченко, Любовь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Васецкая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20. – С. 180-182.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Скалкин В. Л. Основы обучения устной иноязычной речи / Виктор Скалкин. – М.: Высшая школа, 1981. – 243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Методика преподавания русского языка как иностранного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 курс) / Нина Федотова. – СПб: Златоуст, 2013. – 192 с.</w:t>
      </w:r>
    </w:p>
    <w:p w:rsidR="00D454C4" w:rsidRPr="00D454C4" w:rsidRDefault="00D454C4" w:rsidP="003F09B8">
      <w:pPr>
        <w:numPr>
          <w:ilvl w:val="0"/>
          <w:numId w:val="1"/>
        </w:numPr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Е.Г.Борисова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/ Любовь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 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Штыленко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Елена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Штыленко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 Харьков: ХНАДУ, 2007. – 2оо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Штыленко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Этот многоликий мир бизнеса: учебное пособие для иностранцев. – 3-изд. / В.Е. 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Штыленко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Е.Л.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Штыленко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Ю.А.Романов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Харьков: ХНАДУ, 2012. – 188 с. 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Д’яков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С. Основи термінотворення: семантичні та соціолінгвістичні аспекти / А. С.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Д’яков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Т. Р. Кияк, З. Б.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Куделько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К.: Вид. дім "КМ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Academia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", 2000. – 218 с.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райх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Языковые контакты. Состояние и проблемы исследования / Ульрих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Вайнрайх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Благовещенск: БУКВА, 2000. – 264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Шаблій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Міжмовна  інтерференція як психолінгвістична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універсалія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Олександра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Шаблій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// Мовні і концептуальні картини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світу: Зб.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наук. праць.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Київ: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Київський національний університет ім. Тараса Шевченка, 2000. – С. 371 – 375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Капитонова Т.И. Методика обучения русскому языку как иностранному на этапе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предвузовской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/ Татьяна Капитонова, Людмила Московкина. – СПб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Златоуст, 2006. – 398 с. 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методика обучения иностранным языкам: Хрестоматия / Сост. Леонтьев А.А. – М.: Рус. яз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1991. – 473 с. </w:t>
      </w:r>
    </w:p>
    <w:p w:rsidR="00D454C4" w:rsidRPr="00D454C4" w:rsidRDefault="00D454C4" w:rsidP="00D454C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Балыхина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Чжао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Юйцзян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они, китайцы?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Этнометодические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обучения китайцев русскому языку / Татьяна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Балыхина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// Высшее образование сегодня.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2009.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22.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Тер-Минасова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С.Г. Язык и межкультурная коммуникация / Светлана Тер-Минасова. – М.: Слово, 2000. – 624 с. 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Мозг, разум и поведение: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 Фредерик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Андре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Лейзерсон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Людвиг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Хофстедтер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Мир, 1988. – 248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Зимняя И.А. Ключевые компетентности как результативно-целевая основа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Тер-Минасова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С.Г. Язык и межкультурная коммуникация: (Учеб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особие) / Светлана Тер-Минасова. – М.: Слово/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Slovo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624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 Е.М. Язык и культура / Евгений Верещагин, Владимир Костомаров. – М.: Русский язык, 1990. – 246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Гарцов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Андрей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Гарцов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РУДН, 2008. – 127 с</w:t>
      </w:r>
      <w:r w:rsidRPr="00D454C4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Зубов А.В. Информационные технологии в лингвистике: Учеб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студ. лингв. фак-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А.В. Зубов,            И.И. Зубова – М.: Издательский центр «Академия», 2004. – 208 с. 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Брагина А.А.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762 с. 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Городилова Г.Г. Обучение речи и технические средства / Галина Городилова. – М.: Рус. яз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1979.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235 с. 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Г.Д. Обучение китайских студентов декодированию невербальных средств общения при изучении русского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как иностранного / Галина Попова // Вестник Российского ун-та дружбы народов. – 2004. – № 1. – С. 68 – 76.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Коптілов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Теорія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практика перекладу / В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італій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Коптілов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Юніверс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280 с.</w:t>
      </w:r>
      <w:proofErr w:type="gramEnd"/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А.В. Основы общей теории перевода.: лингвист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черк. – 3-е изд.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Афанасий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Федоров.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М.: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1968. – 396 с.</w:t>
      </w:r>
    </w:p>
    <w:p w:rsidR="00D454C4" w:rsidRPr="00D454C4" w:rsidRDefault="00D454C4" w:rsidP="00D454C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Кальниченко О.А. Трактат </w:t>
      </w:r>
      <w:proofErr w:type="spellStart"/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ідріха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Шлейєрмахера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два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перекладу" ("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Uber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dieverschiedenen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methoden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ubersetzens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перекладознавства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Олександр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Кальниченко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Подміногін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записки ХГУ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"НУА". –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Око, 2002. – Т. 8. – С. 503 – 533.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Кальниченко О. А. Переклад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адаптація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 Олександр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Кальниченко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Подміногін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сник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Харківського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нац. ун-ту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iм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В.Н.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Караз</w:t>
      </w:r>
      <w:proofErr w:type="gram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–2004. – № 636. – С. 201-205.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Кальниченко О.А. Джон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Драйден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Передмова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"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Послань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Овідія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Олександр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Кальниченко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записки ХГУ "НУА". –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Око, 2002. –Т.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С. 380 – 400.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Азимов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Мамадиев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К.Р. Инновационные технологи в обучении / К.Р.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Мамадиев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Молодой ученый. – 2012.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11. – С. 450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452.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Гарцов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Гарцов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Политехника, 2003. – С. 112-115.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К проблеме лабораторных практикумов в дистанционном обучении / Игорь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Информационные технологии и системы в образовании, науке, бизнесе: Сборник материалов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Пенза: ПДЗ, 2000. – С.24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Персиянова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Приглашаем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посмотреть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поговорить: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студентов-иностранцев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Светлана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Персиянова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Тамара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Страмнова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 Москва: АСТА, 2005. – 312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Артюх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Е.И.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кинофильмами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владения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русской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разговорной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речью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Артюх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Филологический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17.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2014. – С. 12 – 39.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Азимов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Э.Г.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терминов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понятий (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языкам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/ Э.Г.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Азимов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А.Н.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 Щукин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М.: ИКАР, 2009. – 448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В.Н. Кар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азіна, 2013. – С. 82 – 86.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ридзе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Т.М. Текстовая деятельность в структуре социальной коммуникации / Т.М. 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Дридзе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Изд-во «Наука», 1984. – 268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Елухина Н.В. Обучение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Психология обучения неродному языку / И.А.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– М.: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1989. – 219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обучения иностранным языкам в средней школе: Учебник / [Гез Н.И.,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Ляховицкий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М.В., Миролюбов А.А. и др.]. – М.: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школа, 1982. – 373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Мехедь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 Т.А.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конспектированию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стиля речи в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подготовительного факультета (вузы технического профиля):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…канд.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наук: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13.00.02 /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Татьяна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Акимовна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Мехедькина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 М., 1988. – 180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Старостенко О.В. Розвиток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аудитивних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Теорія та методика навчання (російська мова)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О.В. Старос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тенко. – Херсон, 2008. – 20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Хейлик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устноречевых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студентов-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нефилологов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В.Д.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Хейлик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Е.И.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Гейченко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культура в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вузе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2010. – №2 (32). – С. 49 – 54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Барт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Фрагменты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речи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влюблённого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Пер. с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Лапицкого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Ролан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Барт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Азбука-Классика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432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Эпштейн М. Постмодерн в русской литературе: Учеб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/ М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ихаил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Эпштейн. – М.: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2005. – 459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Андрухович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 Лексикон </w:t>
      </w:r>
      <w:proofErr w:type="spellStart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інтимних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міст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ільний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ібник з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геопоетики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космополітки /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Юрій Андрухович.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К.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Meridian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Czernowitz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Майстер книг,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2011.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480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Тверь: СТАНА, 2006.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23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Дистанционное образование: региональный аспект / Анатолий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Игорь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Дистанционное образование. – 1998.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 – С.37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О.В. К вопросу методического обеспечения учебного процесса при 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дистанционной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М.: 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Диона</w:t>
      </w:r>
      <w:proofErr w:type="spellEnd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2008. – С. 298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301.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Неперервна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Віпол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2000. – С. 176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203.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Солдатенков М.М. Теоретико-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методологічні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наук: 13.00.04. / Михайло Солдатенков. – К.: КПН, 2007. – 40с.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Чернилевский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Дидактические технологии в высшей школе: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для вузов / Дмитрий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Чернилевский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ЮНИТО – ДАНА, 2002. – 437с.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Степанченко И.И. Поэтический язык Сергея Есенина (анализ лексики) / Иван Степанченко. – Харьков: ХГПИ, 1991. – 189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Гендерная психология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практикум / 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ред. И. С.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Клецина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–                        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2-е изд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СПб</w:t>
      </w:r>
      <w:proofErr w:type="gram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Питер, 2009. 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496 с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Кон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И. С.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Совместное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и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раздельное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обучение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научно-теоретические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основы</w:t>
      </w:r>
      <w:proofErr w:type="spellEnd"/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Кон. –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Режим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454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hyperlink w:history="1">
        <w:r w:rsidRPr="00D454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http://sexology. narod.ru/info157.html</w:t>
        </w:r>
      </w:hyperlink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Закон України « Про забезпечення рівних прав та можливостей жінок і чоловіків» (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Відомості Верховної Ради України (ВВР).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2005.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52, ст. 561.  </w:t>
      </w:r>
      <w:bookmarkStart w:id="1" w:name="o4"/>
      <w:bookmarkEnd w:id="1"/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{Із змінами, внесеними згідно із Законом № 4719-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hyperlink r:id="rId6" w:tgtFrame="_blank" w:history="1">
        <w:r w:rsidRPr="00D454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val="uk-UA" w:eastAsia="ru-RU"/>
          </w:rPr>
          <w:t>4719-17</w:t>
        </w:r>
      </w:hyperlink>
      <w:r w:rsidRPr="00D454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від 17.05.2012, ВВР, 2013, №  15, ст. 97}.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 И. С. Введение в сексологию /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Кон. – М.: Медицина, 1989. – 33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Изумрудов Ю.А. Лирика Сергея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…канд.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наук: 10.01.02 / Юрий Александрович Изумрудов. – Нижний Новгород: АСПЕКТ, 1993. – 18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Неженец Н.И. Поэтическая мифология Сергея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Надежда Неженец // Русская речь. – М.: Наука, 1987. –  С. 119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Савушкина Н.И.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Фольклоризм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ранней поэзии С. 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Комуністична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партійність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радянського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1964. – 95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Живіть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жита.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 Перерва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Х.: Прапор, 1978.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63с.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Голоси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криниць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 Перерва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«Прапор», 1981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 Перерва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Рад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исьменник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1984.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Бердяев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Эрос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личность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Философия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пола и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любви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Николай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Бердяев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СПб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Издательский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Азбука-классика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2007. – 224 с. 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Бернадська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Український роман: теоретичні проблеми і жанрова еволюція: Монографія / Ніна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Бернадська.–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К., 2004. – 368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Бетко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Архетипальна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постать блазня в українській постмодерній прозі / Ірина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Бетко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// Слово і час. – 2009. – № 3. – С. 54 – 63.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Бетко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Осмислення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нумінозного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досвіду в поезії Богдана-Ігоря Антонича / Ірина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Бетко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Бетко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Українська релігійно-філософська поезія. Етапи розвитку. 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Katowice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Wydawnictwo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Uniwersytetu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Ś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ą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skiego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2003. – С. 174 – 209. 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Білоцерківець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Бу-Ба-Бу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 Український літературний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неоавангард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портрет одного року / Наталка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Білоцерківець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Слово і Час. – 1991. – Ч. 1. – С. 18 – 25.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Бланшо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Взгляд Орфея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Морис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Бланшо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// Ожидание забвения. – СПб</w:t>
      </w:r>
      <w:proofErr w:type="gram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Амфора,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2000. – С. 60 – 72.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D45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Блюм Х. Каббала и литературная критика</w:t>
        </w:r>
      </w:hyperlink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Херольд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Блюм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Таргум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Еврейское наследие в контексте мировой культуры. 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1990. 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1990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45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Бовуар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де. Мандарин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Симона де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Бовуар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АСТЕЛЬ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Бодрийар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Фуко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с фр. Д. Калугин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Жан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Бодрийар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СПб: «Владимир Даль», 2000. – 95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Бодрийяр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Символический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обмен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смерть / Жан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Бодрийар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"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Добросвет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387 с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NewRomanPSMT" w:hAnsi="Times New Roman" w:cs="Times New Roman"/>
          <w:sz w:val="28"/>
          <w:szCs w:val="28"/>
          <w:lang w:eastAsia="ru-RU"/>
        </w:rPr>
        <w:t>Деррида</w:t>
      </w:r>
      <w:proofErr w:type="spellEnd"/>
      <w:r w:rsidRPr="00D454C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Ж. Голос и </w:t>
      </w:r>
      <w:proofErr w:type="gramStart"/>
      <w:r w:rsidRPr="00D454C4">
        <w:rPr>
          <w:rFonts w:ascii="Times New Roman" w:eastAsia="TimesNewRomanPSMT" w:hAnsi="Times New Roman" w:cs="Times New Roman"/>
          <w:sz w:val="28"/>
          <w:szCs w:val="28"/>
          <w:lang w:eastAsia="ru-RU"/>
        </w:rPr>
        <w:t>феномен</w:t>
      </w:r>
      <w:proofErr w:type="gramEnd"/>
      <w:r w:rsidRPr="00D454C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и другие работы по теории знака </w:t>
      </w:r>
      <w:proofErr w:type="spellStart"/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>Гуссерля</w:t>
      </w:r>
      <w:proofErr w:type="spellEnd"/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 xml:space="preserve"> / Жак </w:t>
      </w:r>
      <w:proofErr w:type="spellStart"/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Деррида</w:t>
      </w:r>
      <w:proofErr w:type="spellEnd"/>
      <w:r w:rsidRPr="00D454C4">
        <w:rPr>
          <w:rFonts w:ascii="Times New Roman" w:eastAsia="TimesNewRomanPSMT" w:hAnsi="Times New Roman" w:cs="Times New Roman"/>
          <w:sz w:val="28"/>
          <w:szCs w:val="28"/>
          <w:lang w:eastAsia="ru-RU"/>
        </w:rPr>
        <w:t>. –</w:t>
      </w:r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>СПб</w:t>
      </w:r>
      <w:proofErr w:type="gramStart"/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>Алете</w:t>
      </w:r>
      <w:proofErr w:type="spellEnd"/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й</w:t>
      </w:r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>я</w:t>
      </w:r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,</w:t>
      </w:r>
      <w:r w:rsidRPr="00D454C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1999. – 206 с. 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Деррида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Эссе об имени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фр. Н.А.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 xml:space="preserve">Жак </w:t>
      </w:r>
      <w:proofErr w:type="spellStart"/>
      <w:r w:rsidRPr="00D454C4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Деррида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Институт экспериментальной социологии; СПб: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192 с.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Дроздовський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 Ловець «Таємниці» Юрія Андруховича, або Сім днів, які змінили світ / Дмитро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Дроздовський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Кур’єр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Кривбасу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2007. – № 212-213. – Лип.-Серп. – С. 56 – 61.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Евтушенко С. Эрос и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агапе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гносеологический аспект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Сергей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Евтушенко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// Вопросы философии. – 1999. – №</w:t>
      </w:r>
      <w:r w:rsidRPr="00D45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– С. 99 – 109.</w:t>
      </w:r>
    </w:p>
    <w:p w:rsidR="00D454C4" w:rsidRPr="00D454C4" w:rsidRDefault="00D454C4" w:rsidP="00D454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Евсюков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Мифы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вселенной</w:t>
      </w:r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/ </w:t>
      </w:r>
      <w:proofErr w:type="spellStart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Валерий</w:t>
      </w:r>
      <w:proofErr w:type="spellEnd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Владимирович</w:t>
      </w:r>
      <w:proofErr w:type="spellEnd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454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Евсюков</w:t>
      </w:r>
      <w:proofErr w:type="spellEnd"/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Новосибирск: Наука, 1988.— (Серия «Из истории мировой культуры»)</w:t>
      </w:r>
      <w:r w:rsidRPr="00D45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– 452 с. </w:t>
      </w:r>
    </w:p>
    <w:bookmarkEnd w:id="0"/>
    <w:p w:rsidR="00DC0F25" w:rsidRPr="00DC0F25" w:rsidRDefault="00DC0F25" w:rsidP="00DC0F25">
      <w:pPr>
        <w:jc w:val="both"/>
        <w:rPr>
          <w:rFonts w:ascii="Times New Roman" w:hAnsi="Times New Roman" w:cs="Times New Roman"/>
        </w:rPr>
      </w:pPr>
    </w:p>
    <w:sectPr w:rsidR="00DC0F25" w:rsidRPr="00DC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0"/>
    <w:rsid w:val="001025B0"/>
    <w:rsid w:val="0017783B"/>
    <w:rsid w:val="003F09B8"/>
    <w:rsid w:val="00D454C4"/>
    <w:rsid w:val="00D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3078</Words>
  <Characters>17550</Characters>
  <Application>Microsoft Office Word</Application>
  <DocSecurity>0</DocSecurity>
  <Lines>146</Lines>
  <Paragraphs>41</Paragraphs>
  <ScaleCrop>false</ScaleCrop>
  <Company/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2015-02-17T17:56:00Z</dcterms:created>
  <dcterms:modified xsi:type="dcterms:W3CDTF">2015-02-17T21:47:00Z</dcterms:modified>
</cp:coreProperties>
</file>