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2C4C83" w:rsidRPr="007C24A2" w:rsidTr="002C4C83">
        <w:tc>
          <w:tcPr>
            <w:tcW w:w="5221" w:type="dxa"/>
          </w:tcPr>
          <w:p w:rsidR="002C4C83" w:rsidRPr="007C24A2" w:rsidRDefault="002C4C83" w:rsidP="002C4C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Ст. викладач</w:t>
            </w:r>
          </w:p>
        </w:tc>
        <w:tc>
          <w:tcPr>
            <w:tcW w:w="875" w:type="dxa"/>
          </w:tcPr>
          <w:p w:rsidR="002C4C83" w:rsidRPr="007C24A2" w:rsidRDefault="002C4C83" w:rsidP="002C4C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2C4C83" w:rsidRPr="007C24A2" w:rsidRDefault="002C4C83" w:rsidP="002C4C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Г.М. Ковальова</w:t>
            </w:r>
          </w:p>
          <w:p w:rsidR="002C4C83" w:rsidRDefault="002C4C83" w:rsidP="002C4C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(розд. 1.11)</w:t>
            </w:r>
          </w:p>
          <w:p w:rsidR="002C4C83" w:rsidRPr="007C24A2" w:rsidRDefault="002C4C83" w:rsidP="002C4C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C4C83" w:rsidRDefault="002C4C83" w:rsidP="002C4C8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C4C83">
        <w:rPr>
          <w:b/>
          <w:sz w:val="28"/>
          <w:szCs w:val="28"/>
          <w:lang w:val="uk-UA"/>
        </w:rPr>
        <w:t xml:space="preserve">Психологічні аспекти мовленнєвої підготовки </w:t>
      </w:r>
    </w:p>
    <w:p w:rsidR="002C4C83" w:rsidRDefault="002C4C83" w:rsidP="002C4C8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C4C83">
        <w:rPr>
          <w:b/>
          <w:sz w:val="28"/>
          <w:szCs w:val="28"/>
          <w:lang w:val="uk-UA"/>
        </w:rPr>
        <w:t>студентів-іноземців</w:t>
      </w:r>
    </w:p>
    <w:p w:rsidR="002C4C83" w:rsidRPr="002C4C83" w:rsidRDefault="002C4C83" w:rsidP="002C4C8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C4C83" w:rsidRPr="007C24A2" w:rsidRDefault="002C4C83" w:rsidP="002C4C83">
      <w:pPr>
        <w:spacing w:line="360" w:lineRule="auto"/>
        <w:ind w:firstLine="709"/>
        <w:jc w:val="both"/>
        <w:rPr>
          <w:sz w:val="28"/>
          <w:szCs w:val="28"/>
        </w:rPr>
      </w:pPr>
      <w:r w:rsidRPr="007C24A2">
        <w:rPr>
          <w:sz w:val="28"/>
          <w:szCs w:val="28"/>
          <w:lang w:val="uk-UA"/>
        </w:rPr>
        <w:t>1.11</w:t>
      </w:r>
      <w:r>
        <w:rPr>
          <w:sz w:val="28"/>
          <w:szCs w:val="28"/>
          <w:lang w:val="uk-UA"/>
        </w:rPr>
        <w:t>.</w:t>
      </w:r>
      <w:r w:rsidRPr="007C24A2">
        <w:rPr>
          <w:b/>
          <w:sz w:val="28"/>
          <w:szCs w:val="28"/>
          <w:lang w:val="uk-UA"/>
        </w:rPr>
        <w:t xml:space="preserve"> </w:t>
      </w:r>
      <w:r w:rsidRPr="007C24A2">
        <w:rPr>
          <w:sz w:val="28"/>
          <w:szCs w:val="28"/>
          <w:lang w:val="uk-UA"/>
        </w:rPr>
        <w:t xml:space="preserve">У філогенезі мова спочатку виступала, ймовірно, як засіб спілкування людей, спосіб обміну між ними інформацією. </w:t>
      </w:r>
      <w:r w:rsidRPr="00DA7A76">
        <w:rPr>
          <w:sz w:val="28"/>
          <w:szCs w:val="28"/>
          <w:lang w:val="uk-UA"/>
        </w:rPr>
        <w:t>На користь такого припущення говорить факт наявності</w:t>
      </w:r>
      <w:r w:rsidRPr="007C24A2">
        <w:rPr>
          <w:sz w:val="28"/>
          <w:szCs w:val="28"/>
          <w:lang w:val="uk-UA"/>
        </w:rPr>
        <w:t xml:space="preserve"> </w:t>
      </w:r>
      <w:r w:rsidRPr="00DA7A76">
        <w:rPr>
          <w:sz w:val="28"/>
          <w:szCs w:val="28"/>
          <w:lang w:val="uk-UA"/>
        </w:rPr>
        <w:t>у багатьох тварин розвинених засобів комунікації і тільки у людини здатнос</w:t>
      </w:r>
      <w:r w:rsidRPr="007C24A2">
        <w:rPr>
          <w:sz w:val="28"/>
          <w:szCs w:val="28"/>
        </w:rPr>
        <w:t>ті користуватися мовою при вирішенні інтелектуальн</w:t>
      </w:r>
      <w:r w:rsidRPr="007C24A2">
        <w:rPr>
          <w:sz w:val="28"/>
          <w:szCs w:val="28"/>
          <w:lang w:val="uk-UA"/>
        </w:rPr>
        <w:t xml:space="preserve">их </w:t>
      </w:r>
      <w:r w:rsidRPr="007C24A2">
        <w:rPr>
          <w:sz w:val="28"/>
          <w:szCs w:val="28"/>
        </w:rPr>
        <w:t>завдань. У шимпанзе, наприклад, ми знаходимо віднос</w:t>
      </w:r>
      <w:r w:rsidRPr="007C24A2">
        <w:rPr>
          <w:sz w:val="28"/>
          <w:szCs w:val="28"/>
          <w:lang w:val="uk-UA"/>
        </w:rPr>
        <w:t>но</w:t>
      </w:r>
      <w:r w:rsidRPr="007C24A2">
        <w:rPr>
          <w:sz w:val="28"/>
          <w:szCs w:val="28"/>
        </w:rPr>
        <w:t xml:space="preserve"> високо розвинену мову, </w:t>
      </w:r>
      <w:r w:rsidRPr="007C24A2">
        <w:rPr>
          <w:sz w:val="28"/>
          <w:szCs w:val="28"/>
          <w:lang w:val="uk-UA"/>
        </w:rPr>
        <w:t>певної мірої схожу на мову людини</w:t>
      </w:r>
      <w:r w:rsidRPr="007C24A2">
        <w:rPr>
          <w:sz w:val="28"/>
          <w:szCs w:val="28"/>
        </w:rPr>
        <w:t xml:space="preserve">. Мова шимпанзе, однак, висловлює тільки органічні потреби тварин і їх суб'єктивні </w:t>
      </w:r>
      <w:r w:rsidRPr="007C24A2">
        <w:rPr>
          <w:sz w:val="28"/>
          <w:szCs w:val="28"/>
          <w:lang w:val="uk-UA"/>
        </w:rPr>
        <w:t>вираження</w:t>
      </w:r>
      <w:r w:rsidRPr="007C24A2">
        <w:rPr>
          <w:sz w:val="28"/>
          <w:szCs w:val="28"/>
        </w:rPr>
        <w:t xml:space="preserve">. Це - система емоційно-експресивних виразів, але ніколи не символ або знак чого-небудь, що знаходиться за </w:t>
      </w:r>
      <w:r w:rsidRPr="007C24A2">
        <w:rPr>
          <w:sz w:val="28"/>
          <w:szCs w:val="28"/>
          <w:lang w:val="uk-UA"/>
        </w:rPr>
        <w:t>межею розуміння</w:t>
      </w:r>
      <w:r w:rsidRPr="007C24A2">
        <w:rPr>
          <w:sz w:val="28"/>
          <w:szCs w:val="28"/>
        </w:rPr>
        <w:t xml:space="preserve"> тварини. Мова тварин не має тих значень, якими багата людська мова, і тим більше смислів. У різноманітних формах жест</w:t>
      </w:r>
      <w:r w:rsidRPr="007C24A2">
        <w:rPr>
          <w:sz w:val="28"/>
          <w:szCs w:val="28"/>
          <w:lang w:val="uk-UA"/>
        </w:rPr>
        <w:t>ів</w:t>
      </w:r>
      <w:r w:rsidRPr="007C24A2">
        <w:rPr>
          <w:sz w:val="28"/>
          <w:szCs w:val="28"/>
        </w:rPr>
        <w:t xml:space="preserve"> мімічного і пантоміміч</w:t>
      </w:r>
      <w:r w:rsidRPr="007C24A2">
        <w:rPr>
          <w:sz w:val="28"/>
          <w:szCs w:val="28"/>
          <w:lang w:val="uk-UA"/>
        </w:rPr>
        <w:t>ного</w:t>
      </w:r>
      <w:r w:rsidRPr="007C24A2">
        <w:rPr>
          <w:sz w:val="28"/>
          <w:szCs w:val="28"/>
        </w:rPr>
        <w:t xml:space="preserve">  спілкування шимпанзе на першому місці знаходяться емоціо</w:t>
      </w:r>
      <w:r w:rsidRPr="007C24A2">
        <w:rPr>
          <w:sz w:val="28"/>
          <w:szCs w:val="28"/>
          <w:lang w:val="uk-UA"/>
        </w:rPr>
        <w:t>н</w:t>
      </w:r>
      <w:r w:rsidRPr="007C24A2">
        <w:rPr>
          <w:sz w:val="28"/>
          <w:szCs w:val="28"/>
        </w:rPr>
        <w:t>ально-виразні рухи, хоча і дуже яскрав</w:t>
      </w:r>
      <w:r w:rsidRPr="007C24A2">
        <w:rPr>
          <w:sz w:val="28"/>
          <w:szCs w:val="28"/>
          <w:lang w:val="uk-UA"/>
        </w:rPr>
        <w:t>і</w:t>
      </w:r>
      <w:r w:rsidRPr="007C24A2">
        <w:rPr>
          <w:sz w:val="28"/>
          <w:szCs w:val="28"/>
        </w:rPr>
        <w:t>, багаті за формою і відтінкам.</w:t>
      </w:r>
    </w:p>
    <w:p w:rsidR="002C4C83" w:rsidRPr="007C24A2" w:rsidRDefault="002C4C83" w:rsidP="002C4C83">
      <w:pPr>
        <w:spacing w:line="360" w:lineRule="auto"/>
        <w:ind w:firstLine="709"/>
        <w:jc w:val="both"/>
        <w:rPr>
          <w:sz w:val="28"/>
          <w:szCs w:val="28"/>
        </w:rPr>
      </w:pPr>
      <w:r w:rsidRPr="007C24A2">
        <w:rPr>
          <w:sz w:val="28"/>
          <w:szCs w:val="28"/>
        </w:rPr>
        <w:t>У тварин, крім того, можна виявити виразні рухи, пов'язані з так званими соціальними емоціями</w:t>
      </w:r>
      <w:r w:rsidRPr="007C24A2">
        <w:rPr>
          <w:sz w:val="28"/>
          <w:szCs w:val="28"/>
          <w:lang w:val="uk-UA"/>
        </w:rPr>
        <w:t>я</w:t>
      </w:r>
      <w:r w:rsidRPr="007C24A2">
        <w:rPr>
          <w:sz w:val="28"/>
          <w:szCs w:val="28"/>
        </w:rPr>
        <w:t>ми, наприклад спеціальні жести - вітання один одного. Вищі тварини, як показує досвід уважного спостер</w:t>
      </w:r>
      <w:r w:rsidRPr="007C24A2">
        <w:rPr>
          <w:sz w:val="28"/>
          <w:szCs w:val="28"/>
          <w:lang w:val="uk-UA"/>
        </w:rPr>
        <w:t>еж</w:t>
      </w:r>
      <w:r w:rsidRPr="007C24A2">
        <w:rPr>
          <w:sz w:val="28"/>
          <w:szCs w:val="28"/>
        </w:rPr>
        <w:t>ення за їх спілкуванням, чудово розбираються в жестах і мі</w:t>
      </w:r>
      <w:r w:rsidRPr="007C24A2">
        <w:rPr>
          <w:sz w:val="28"/>
          <w:szCs w:val="28"/>
          <w:lang w:val="uk-UA"/>
        </w:rPr>
        <w:t>м</w:t>
      </w:r>
      <w:r w:rsidRPr="007C24A2">
        <w:rPr>
          <w:sz w:val="28"/>
          <w:szCs w:val="28"/>
        </w:rPr>
        <w:t>іці один одного. За допомогою жестів вони висловлюють не лише свої емоційні стани, а й спонукання, спрямован</w:t>
      </w:r>
      <w:r w:rsidRPr="007C24A2">
        <w:rPr>
          <w:sz w:val="28"/>
          <w:szCs w:val="28"/>
          <w:lang w:val="uk-UA"/>
        </w:rPr>
        <w:t>е</w:t>
      </w:r>
      <w:r w:rsidRPr="007C24A2">
        <w:rPr>
          <w:sz w:val="28"/>
          <w:szCs w:val="28"/>
        </w:rPr>
        <w:t xml:space="preserve"> на інші предмети. Найпоширеніший спосіб </w:t>
      </w:r>
      <w:r w:rsidRPr="007C24A2">
        <w:rPr>
          <w:sz w:val="28"/>
          <w:szCs w:val="28"/>
          <w:lang w:val="uk-UA"/>
        </w:rPr>
        <w:t>спілкування</w:t>
      </w:r>
      <w:r w:rsidRPr="007C24A2">
        <w:rPr>
          <w:sz w:val="28"/>
          <w:szCs w:val="28"/>
        </w:rPr>
        <w:t xml:space="preserve"> шимпанзе в таких випадках полягає в тому, що вони </w:t>
      </w:r>
      <w:r w:rsidRPr="007C24A2">
        <w:rPr>
          <w:sz w:val="28"/>
          <w:szCs w:val="28"/>
          <w:lang w:val="uk-UA"/>
        </w:rPr>
        <w:t>починають</w:t>
      </w:r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певний</w:t>
      </w:r>
      <w:r w:rsidRPr="007C24A2">
        <w:rPr>
          <w:sz w:val="28"/>
          <w:szCs w:val="28"/>
        </w:rPr>
        <w:t xml:space="preserve"> рух або ді</w:t>
      </w:r>
      <w:r w:rsidRPr="007C24A2">
        <w:rPr>
          <w:sz w:val="28"/>
          <w:szCs w:val="28"/>
          <w:lang w:val="uk-UA"/>
        </w:rPr>
        <w:t>ю</w:t>
      </w:r>
      <w:r w:rsidRPr="007C24A2">
        <w:rPr>
          <w:sz w:val="28"/>
          <w:szCs w:val="28"/>
        </w:rPr>
        <w:t>,</w:t>
      </w:r>
      <w:r w:rsidRPr="007C24A2">
        <w:rPr>
          <w:sz w:val="28"/>
          <w:szCs w:val="28"/>
          <w:lang w:val="uk-UA"/>
        </w:rPr>
        <w:t xml:space="preserve"> яку</w:t>
      </w:r>
      <w:r w:rsidRPr="007C24A2">
        <w:rPr>
          <w:sz w:val="28"/>
          <w:szCs w:val="28"/>
        </w:rPr>
        <w:t xml:space="preserve"> хочуть відтворити або до якого хочуть спонукати іншу тварину. Цій же меті служать хапальні рухи, які виражають бажання</w:t>
      </w:r>
      <w:r w:rsidRPr="007C24A2">
        <w:rPr>
          <w:sz w:val="28"/>
          <w:szCs w:val="28"/>
          <w:lang w:val="uk-UA"/>
        </w:rPr>
        <w:t xml:space="preserve"> мавпи</w:t>
      </w:r>
      <w:r w:rsidRPr="007C24A2">
        <w:rPr>
          <w:sz w:val="28"/>
          <w:szCs w:val="28"/>
        </w:rPr>
        <w:t xml:space="preserve"> отримати від іншої тварини небудь предмет. Для багатьох тварин характерн</w:t>
      </w:r>
      <w:r w:rsidRPr="007C24A2">
        <w:rPr>
          <w:sz w:val="28"/>
          <w:szCs w:val="28"/>
          <w:lang w:val="uk-UA"/>
        </w:rPr>
        <w:t>ий</w:t>
      </w:r>
      <w:r w:rsidRPr="007C24A2">
        <w:rPr>
          <w:sz w:val="28"/>
          <w:szCs w:val="28"/>
        </w:rPr>
        <w:t xml:space="preserve"> зв'язок виразних емоційних рухів зі специфічними голосовими </w:t>
      </w:r>
      <w:r w:rsidRPr="007C24A2">
        <w:rPr>
          <w:sz w:val="28"/>
          <w:szCs w:val="28"/>
        </w:rPr>
        <w:lastRenderedPageBreak/>
        <w:t>реакціями. Вона ж, мабуть, лежить в основі виникнення і розвитку людської мови.</w:t>
      </w:r>
    </w:p>
    <w:p w:rsidR="002C4C83" w:rsidRPr="007C24A2" w:rsidRDefault="002C4C83" w:rsidP="002C4C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</w:rPr>
        <w:t>Звернемо увагу ще на одну генетичну передумову розвитку у людини мови як засобу спілкування. Для багатьох тварин мова є не тільки системою емоційно-ви</w:t>
      </w:r>
      <w:r w:rsidRPr="007C24A2">
        <w:rPr>
          <w:sz w:val="28"/>
          <w:szCs w:val="28"/>
          <w:lang w:val="uk-UA"/>
        </w:rPr>
        <w:t>раджаючих</w:t>
      </w:r>
      <w:r w:rsidRPr="007C24A2">
        <w:rPr>
          <w:sz w:val="28"/>
          <w:szCs w:val="28"/>
        </w:rPr>
        <w:t xml:space="preserve"> реакцій, але також засобом психологічного кон</w:t>
      </w:r>
      <w:r w:rsidRPr="007C24A2">
        <w:rPr>
          <w:sz w:val="28"/>
          <w:szCs w:val="28"/>
          <w:lang w:val="uk-UA"/>
        </w:rPr>
        <w:t>т</w:t>
      </w:r>
      <w:r w:rsidRPr="007C24A2">
        <w:rPr>
          <w:sz w:val="28"/>
          <w:szCs w:val="28"/>
        </w:rPr>
        <w:t xml:space="preserve">акту із собі подібними. Ту ж саму роль що формується в онтогенезі мова спочатку виконує і у людини, </w:t>
      </w:r>
      <w:r w:rsidRPr="007C24A2">
        <w:rPr>
          <w:sz w:val="28"/>
          <w:szCs w:val="28"/>
          <w:lang w:val="uk-UA"/>
        </w:rPr>
        <w:t xml:space="preserve">принаймні, </w:t>
      </w:r>
      <w:r w:rsidRPr="007C24A2">
        <w:rPr>
          <w:sz w:val="28"/>
          <w:szCs w:val="28"/>
        </w:rPr>
        <w:t>у віці до півтора років. Ця мовна функція ще не пов'язана з інтелектом.</w:t>
      </w:r>
      <w:r w:rsidRPr="007C24A2">
        <w:rPr>
          <w:sz w:val="28"/>
          <w:szCs w:val="28"/>
          <w:lang w:val="uk-UA"/>
        </w:rPr>
        <w:t xml:space="preserve"> </w:t>
      </w:r>
      <w:r w:rsidRPr="007C24A2">
        <w:rPr>
          <w:sz w:val="28"/>
          <w:szCs w:val="28"/>
        </w:rPr>
        <w:t>Але людського індивіда не може задовольняти така вельми обмежена у своїх можливостях комунікативна роль мови. Для того щоб передати якесь переживання</w:t>
      </w:r>
      <w:r w:rsidRPr="007C24A2">
        <w:rPr>
          <w:sz w:val="28"/>
          <w:szCs w:val="28"/>
          <w:lang w:val="uk-UA"/>
        </w:rPr>
        <w:t xml:space="preserve"> або зміст свідомості іншій людині, немає іншого шляху, крім означивания мовних висловлювань, тобто віднесення змісту до якого-небудь відомого класу предметів або явищ. Це неодмінно вимагає абстракції та узагальнення, вираження узагальненого абстрагованого значення в слові-понятті. Спілкування розвинених в психологічному та культурному плані людей неодмінно передбачає узагальнення, розвиток словесних значень. Це і є магістральний шлях вдосконалення людської мови, що зближує  її з мисленням і включає моввлення в управління всіма іншими пізнавальними процесами.</w:t>
      </w:r>
    </w:p>
    <w:p w:rsidR="002C4C83" w:rsidRPr="007C24A2" w:rsidRDefault="002C4C83" w:rsidP="002C4C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>В останні роки ведеться чимало суперечок і дискусій з питання про те, чи є здатність до засвоєння мови у людини вродженої. Думки вчених у цьому питанні розділилися: одні стоять на позиції неврожденности цієї здібності, інші дотримуються точки зору щодо її генетичної обумовленості.</w:t>
      </w:r>
    </w:p>
    <w:p w:rsidR="002C4C83" w:rsidRPr="007C24A2" w:rsidRDefault="002C4C83" w:rsidP="002C4C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>З одного боку, є переконливі докази того, що ні про яку уродженості промови людини говорити не можна. Це, наприклад, факти відсутності яких би то не було ознак членороздільної людської мови у дітей, що виросли в ізоляції від людей і ніколи не чули людського голосу. Це також дані численних невдалих дослідів навчання вищих тварин мові людини, вмінню користуватися хоча б елементарними поняттями. Тільки у людини, причому лише в умовах правильно організованого навчання і виховання, може з'явитися і розвинутися вербальна понятійна мова.</w:t>
      </w:r>
    </w:p>
    <w:p w:rsidR="002C4C83" w:rsidRPr="007C24A2" w:rsidRDefault="002C4C83" w:rsidP="002C4C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lastRenderedPageBreak/>
        <w:t>Ці дослідження, звичайно, остаточно не доводять, що тварини - в даному випадку вищі людиноподібні мавпи - здатні засвоювати саме людську мову, розуміти і користуватися нею на рівні понять. Вищі  понятійні форми мови їм все ж недоступні, а ті знаки , котрими вони вчаться користуватися, не виходять за межі реализації комунікативної функції. Більше того, до цих пір немає будь-яких переконливих фактів, які свідчать про те, що тварини в змозі складати зі знаків речення, міняти порядок слів для вираження однієї і тієї ж думки. Інакше кажучи, у світі тварин не встановлено поки ніякого руху вперед до злиття думки і сло</w:t>
      </w:r>
      <w:r>
        <w:rPr>
          <w:sz w:val="28"/>
          <w:szCs w:val="28"/>
          <w:lang w:val="uk-UA"/>
        </w:rPr>
        <w:t>ва</w:t>
      </w:r>
      <w:r w:rsidRPr="007C24A2">
        <w:rPr>
          <w:sz w:val="28"/>
          <w:szCs w:val="28"/>
          <w:lang w:val="uk-UA"/>
        </w:rPr>
        <w:t>.</w:t>
      </w:r>
    </w:p>
    <w:p w:rsidR="0017783B" w:rsidRDefault="0017783B">
      <w:pPr>
        <w:rPr>
          <w:lang w:val="uk-UA"/>
        </w:rPr>
      </w:pPr>
    </w:p>
    <w:p w:rsidR="00527797" w:rsidRDefault="00527797">
      <w:pPr>
        <w:rPr>
          <w:lang w:val="uk-UA"/>
        </w:rPr>
      </w:pPr>
    </w:p>
    <w:p w:rsidR="00527797" w:rsidRDefault="00527797" w:rsidP="00527797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ПОСИЛАНЬ</w:t>
      </w:r>
    </w:p>
    <w:p w:rsidR="00527797" w:rsidRDefault="00527797" w:rsidP="00527797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Молчановский В.М. Преподавание русского языка как иностранного. Введение в специальность / Владимир Молчановский, Людмила Шепелевич. – М.: Рус. яз. курсы, 2002. – 298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Капитонова Т.И. Методы и технологии обучения русскому языку как иностранному / Татьяна Капитоно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ва, Людмила Московкина, Александр Щукин. – М.: Рус. яз. курсы, 2008. – 312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Гейченко Е. И., Учебная дискуссия – способ творческого развития навыков неподготовленной речи / Екатерина Гейченко, Любовь Васецкая // Педагогіка і психологія формування творчої особистості: проблеми і пошуки. Зб. наук. праць. К. – Запоріжжя, 2001. – Вип. 20. – С. 180-182.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Скалкин В. Л. Основы обучения устной иноязычной речи / Виктор Скалкин. – М.: Высшая школа, 1981. – 243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учебно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</w:rPr>
        <w:t>Федотова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Н.Л. Методика преподавания русского языка как иностранного. (практический курс) / Нина Федотова. – СПб: Златоуст, 2013. – 192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Е.Г.Борисова.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Безкоровайная Л.С. Глобус: Практический курс для начинающих изучать русский язык. Часть 1,2. – 4-е изд. перераб. и доп. / Любовь Безкоровайная, Владимир  Штыленко, Елена Штыленко.  – Харьков: ХНАДУ, 2007. – 2оо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Штыленко В.Е. Этот многоликий мир бизнеса: учебное пособие для иностранцев. – 3-изд. / В.Е.  Штыленко, Е.Л. Штыленко, Ю.А.Романов. – Харьков: ХНАДУ, 2012. – 188 с. 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Д’яков А. С. Основи термінотворення: семантичні та соціолінгвістичні аспекти / А. С. Д’яков, Т. Р. Кияк, З. Б. Куделько. – К.: Вид. дім "КМ Academia", 2000. – 218 с.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райх У</w:t>
      </w:r>
      <w:r>
        <w:rPr>
          <w:sz w:val="28"/>
          <w:szCs w:val="28"/>
        </w:rPr>
        <w:t>. Языковые контакты. Состояние и проблемы исследования / Ульрих Вайнрайх.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Благовещенск: БУКВА, 2000. – 264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Шаблій О.А. Міжмовна  інтерференція як психолінгвістична універсалія / Олександра Шаблій. // Мовні і концептуальні картини </w:t>
      </w:r>
      <w:r>
        <w:rPr>
          <w:color w:val="000000"/>
          <w:sz w:val="28"/>
          <w:szCs w:val="28"/>
          <w:lang w:val="uk-UA"/>
        </w:rPr>
        <w:t xml:space="preserve">світу: Зб. наук. праць.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Київ: </w:t>
      </w:r>
      <w:r>
        <w:rPr>
          <w:color w:val="000000"/>
          <w:sz w:val="28"/>
          <w:szCs w:val="28"/>
          <w:shd w:val="clear" w:color="auto" w:fill="FFFFFF"/>
          <w:lang w:val="uk-UA"/>
        </w:rPr>
        <w:t>Київський національний університет ім. Тараса Шевченка, 2000. – С. 371 – 375</w:t>
      </w:r>
      <w:r>
        <w:rPr>
          <w:sz w:val="28"/>
          <w:szCs w:val="28"/>
        </w:rPr>
        <w:t>.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Капитонова Т.И. Методика обучения русскому языку как иностранному на этапе предвузовской подготовки / Татьяна Капитонова, Людмила Московкина. – СПб.: Златоуст, 2006. – 398 с. 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методика обучения иностранным языкам: Хрестоматия / Сост. Леонтьев А.А. – М.: Рус. яз., 1991. – 473 с. </w:t>
      </w:r>
    </w:p>
    <w:p w:rsidR="00527797" w:rsidRDefault="00527797" w:rsidP="00527797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Балыхина Т.М., Чжао Юйцзян. Какие они, китайцы? Этнометодические аспекты обучения китайцев русскому языку / Татьяна Балыхина. // Высшее образование сегодня.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2009.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22.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Тер-Минасова С.Г. Язык и межкультурная коммуникация / Светлана Тер-Минасова. – М.: Слово, 2000. – 624 с. 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Блум Ф. Мозг, разум и поведение: пер.с англ.  Фредерик Блум, Андре Лейзерсон, Людвиг Хофстедтер.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М.: Мир, 1988. – 248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 / Ирина Зимняя. – М.: Исследовательский центр проблем качества подготовки специалистов, 2004. – 42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Тер-Минасова С.Г. Язык и межкультурная коммуникация: (Учеб. пособие) / Светлана Тер-Минасова. – М.: Слово/</w:t>
      </w:r>
      <w:r>
        <w:rPr>
          <w:sz w:val="28"/>
          <w:szCs w:val="28"/>
          <w:lang w:val="en-US"/>
        </w:rPr>
        <w:t>Slovo</w:t>
      </w:r>
      <w:r>
        <w:rPr>
          <w:sz w:val="28"/>
          <w:szCs w:val="28"/>
        </w:rPr>
        <w:t>, 2000. – 624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Верещагин Е.М. Язык и культура / Евгений Верещагин, Владимир Костомаров. – М.: Русский язык, 1990. – 246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Гарцов А.Д. Информационно-коммуникационные технологии как способ оптимизации подготовки специалиста в сфере профессионально-делового общения: Учеб. пособие / Андрей Гарцов. – М.: РУДН, 2008. – 127 с</w:t>
      </w:r>
      <w:r>
        <w:rPr>
          <w:rFonts w:eastAsia="Times-Roman"/>
          <w:color w:val="000000"/>
          <w:sz w:val="28"/>
          <w:szCs w:val="28"/>
        </w:rPr>
        <w:t>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Зубов А.В. Информационные технологии в лингвистике: Учеб. пособие для студ. лингв. фак-тов высш. учеб. заведений / А.В. Зубов,            И.И. Зубова – М.: Издательский центр «Академия», 2004. – 208 с. 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Брагина А.А. Киноурок: лингвострановедческий аспект: Из опыта создания лингвострановедческих пособий: Сб. / Под ред. Е.М. Верещагина / Анна Брагина. – М.: 1977. </w:t>
      </w:r>
      <w:r>
        <w:rPr>
          <w:color w:val="000000"/>
          <w:sz w:val="28"/>
          <w:szCs w:val="28"/>
        </w:rPr>
        <w:t xml:space="preserve">– 762 с. 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Быкова О.П. Учебные модули для работы с видеоматериалами / О.П. Быкова // Русский язык за рубежом. – 2009. – № 2. – С. 33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40.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Городилова Г.Г. Обучение речи и технические средства / Галина Городилова. – М.: Рус. яз., 1979. </w:t>
      </w:r>
      <w:r>
        <w:rPr>
          <w:color w:val="000000"/>
          <w:sz w:val="28"/>
          <w:szCs w:val="28"/>
        </w:rPr>
        <w:t xml:space="preserve">– 235 с. 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Г.Д. Обучение китайских студентов декодированию невербальных средств общения при изучении русского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языка как иностранного / Галина Попова // Вестник Российского ун-та дружбы народов. – 2004. – № 1. – С. 68 – 76.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Коптілов В.В. Теорія і практика перекладу / В</w:t>
      </w:r>
      <w:r>
        <w:rPr>
          <w:color w:val="000000"/>
          <w:sz w:val="28"/>
          <w:szCs w:val="28"/>
          <w:lang w:val="uk-UA"/>
        </w:rPr>
        <w:t>італій Коптілов</w:t>
      </w:r>
      <w:r>
        <w:rPr>
          <w:color w:val="000000"/>
          <w:sz w:val="28"/>
          <w:szCs w:val="28"/>
        </w:rPr>
        <w:t>. – Київ: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Юніверс, 2003. – 280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Федоров А.В. Основы общей теории перевода.: лингвист. очерк. – 3-е изд. </w:t>
      </w:r>
      <w:r>
        <w:rPr>
          <w:color w:val="000000"/>
          <w:sz w:val="28"/>
          <w:szCs w:val="28"/>
          <w:lang w:val="uk-UA"/>
        </w:rPr>
        <w:t xml:space="preserve">/ Афанасий Федоров. </w:t>
      </w:r>
      <w:r>
        <w:rPr>
          <w:color w:val="000000"/>
          <w:sz w:val="28"/>
          <w:szCs w:val="28"/>
        </w:rPr>
        <w:t>– М.: Высш. шк., 1968. – 396 с.</w:t>
      </w:r>
    </w:p>
    <w:p w:rsidR="00527797" w:rsidRDefault="00527797" w:rsidP="00527797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Кальниченко О.А. Трактат Фрідріха Шлейєрмахера "Про два способи перекладу" ("Uber  dieverschiedenen methoden des ubersetzens")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 його значення для сучасного перекладознавства</w:t>
      </w:r>
      <w:r>
        <w:rPr>
          <w:color w:val="000000"/>
          <w:sz w:val="28"/>
          <w:szCs w:val="28"/>
          <w:lang w:val="uk-UA"/>
        </w:rPr>
        <w:t xml:space="preserve"> / Олександр Кальниченко, </w:t>
      </w:r>
      <w:r>
        <w:rPr>
          <w:color w:val="000000"/>
          <w:sz w:val="28"/>
          <w:szCs w:val="28"/>
        </w:rPr>
        <w:t>Володимир Подміногін. // Вчені записки ХГУ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"НУА". – Харків: Око, 2002. – Т. 8. – С. 503 – 533.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 А. Переклад vs адаптація </w:t>
      </w:r>
      <w:r>
        <w:rPr>
          <w:color w:val="000000"/>
          <w:sz w:val="28"/>
          <w:szCs w:val="28"/>
          <w:lang w:val="uk-UA"/>
        </w:rPr>
        <w:t xml:space="preserve">/ Олександр Кальниченко, </w:t>
      </w:r>
      <w:r>
        <w:rPr>
          <w:color w:val="000000"/>
          <w:sz w:val="28"/>
          <w:szCs w:val="28"/>
        </w:rPr>
        <w:t>Володимир Подміногін. // Вiсник Харківського нац. ун-ту iм. В.Н. Каразiна. –2004. – № 636. – С. 201-205.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Кальниченко О.А. Джон Драйден: Передмова до "Послань" Овідія</w:t>
      </w:r>
      <w:r>
        <w:rPr>
          <w:color w:val="000000"/>
          <w:sz w:val="28"/>
          <w:szCs w:val="28"/>
          <w:lang w:val="uk-UA"/>
        </w:rPr>
        <w:t xml:space="preserve"> / Олександр Кальниченко.</w:t>
      </w:r>
      <w:r>
        <w:rPr>
          <w:color w:val="000000"/>
          <w:sz w:val="28"/>
          <w:szCs w:val="28"/>
        </w:rPr>
        <w:t xml:space="preserve"> // Вчені записки ХГУ "НУА". – Харків: Око, 2002. –Т.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– С. 380 – 400.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Мамадиев К.Р. Инновационные технологи в обучении / К.Р. Мамадиев // Молодой ученый. – 2012.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11. – С. 450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452.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Гарцов А.Д. Актуальные проблемы продвижения новых информационных технологий в практику преподавания РКИ / Андрей Гарцов. // Русское слово в мировой культуре: Сборник материалов Х Конгресса Международной ассоциации преподавателей русского языка и литературы. – СПб.: Политехника, 2003. – С. 112-115.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Кревский И.Г. К проблеме лабораторных практикумов в дистанционном обучении / Игорь Кревский. // Информационные технологии и системы в образовании, науке, бизнесе: Сборник материалов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Междунар. науч.-технич. конф. – Пенза: ПДЗ, 2000. – С.24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26.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Персиянова С.Г. Приглашаем посмотреть и поговорить: Учебное пособие для студентов-иностранцев / Светлана Персиянова, Тамара Страмнова. –  Москва: АСТА, 2005. – 312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Артюх Е.И. Работа с кинофильмами как способ повышения уровня владения русской разговорной речью / Егор Артюх // Филологический сборник. – Вып. 17. – Харьков, 2014. – С. 12 – 39.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lang w:val="uk-UA"/>
        </w:rPr>
        <w:t xml:space="preserve"> Э.Г. </w:t>
      </w:r>
      <w:r>
        <w:rPr>
          <w:sz w:val="28"/>
          <w:szCs w:val="28"/>
        </w:rPr>
        <w:t>Новый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словарь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терминов</w:t>
      </w:r>
      <w:r>
        <w:rPr>
          <w:sz w:val="28"/>
          <w:szCs w:val="28"/>
          <w:lang w:val="uk-UA"/>
        </w:rPr>
        <w:t xml:space="preserve"> и понятий (теория и практика </w:t>
      </w:r>
      <w:r>
        <w:rPr>
          <w:sz w:val="28"/>
          <w:szCs w:val="28"/>
        </w:rPr>
        <w:t>обучения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языкам</w:t>
      </w:r>
      <w:r>
        <w:rPr>
          <w:sz w:val="28"/>
          <w:szCs w:val="28"/>
          <w:lang w:val="uk-UA"/>
        </w:rPr>
        <w:t>) / Э.Г.</w:t>
      </w:r>
      <w:r>
        <w:rPr>
          <w:sz w:val="28"/>
          <w:szCs w:val="28"/>
        </w:rPr>
        <w:t> Азимов</w:t>
      </w:r>
      <w:r>
        <w:rPr>
          <w:sz w:val="28"/>
          <w:szCs w:val="28"/>
          <w:lang w:val="uk-UA"/>
        </w:rPr>
        <w:t>, А.Н.</w:t>
      </w:r>
      <w:r>
        <w:rPr>
          <w:sz w:val="28"/>
          <w:szCs w:val="28"/>
        </w:rPr>
        <w:t> Щукин</w:t>
      </w:r>
      <w:r>
        <w:rPr>
          <w:sz w:val="28"/>
          <w:szCs w:val="28"/>
          <w:lang w:val="uk-UA"/>
        </w:rPr>
        <w:t>. – М.: ИКАР, 2009. – 448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В.Н. Каразіна, 2013. – С. 82 – 86.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ридзе Т.М. Текстовая деятельность в структуре социальной коммуникации / Т.М. Дридзе – М.: Изд-во «Наука», 1984. – 268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Елухина Н.В. Обучение аудированию в русле коммуникативно-ориентированной методики / Н.В. Елухина // Иностранные языки в школе. – 1989. – № 2. – С. 28 – 34.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Зимняя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И.А. Психология обучения неродному языку / И.А.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Зимняя – М.: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Рус.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яз., 1989. – 219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Методика обучения иностранным языкам в средней школе: Учебник / [Гез Н.И., Ляховицкий М.В., Миролюбов А.А. и др.]. – М.: Высш. школа, 1982. – 373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Мехедь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 xml:space="preserve">на Т.А. </w:t>
      </w:r>
      <w:r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конспектированию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лекций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</w:rPr>
        <w:t>материале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научного</w:t>
      </w:r>
      <w:r>
        <w:rPr>
          <w:color w:val="000000"/>
          <w:sz w:val="28"/>
          <w:szCs w:val="28"/>
          <w:lang w:val="uk-UA"/>
        </w:rPr>
        <w:t xml:space="preserve"> стиля речи в </w:t>
      </w:r>
      <w:r>
        <w:rPr>
          <w:color w:val="000000"/>
          <w:sz w:val="28"/>
          <w:szCs w:val="28"/>
        </w:rPr>
        <w:t>условиях подготовительного факультета (вузы технического профиля): дис. …канд. пед. наук:</w:t>
      </w:r>
      <w:r>
        <w:rPr>
          <w:color w:val="000000"/>
          <w:sz w:val="28"/>
          <w:szCs w:val="28"/>
          <w:lang w:val="uk-UA"/>
        </w:rPr>
        <w:t xml:space="preserve"> 13.00.02 / Татьяна Акимовна Мехедькина. – М., 1988. – 180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Старостенко О.В. Розвиток аудитивних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Теорія та методика навчання (російська мова)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/ О.В. Старостенко. – Херсон, 2008. – 20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Хейлик В.Д. </w:t>
      </w:r>
      <w:r>
        <w:rPr>
          <w:sz w:val="28"/>
          <w:szCs w:val="28"/>
        </w:rPr>
        <w:t>Стратегии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формирования устноречевых умений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иностранных студентов-нефилологов</w:t>
      </w:r>
      <w:r>
        <w:rPr>
          <w:sz w:val="28"/>
          <w:szCs w:val="28"/>
          <w:lang w:val="uk-UA"/>
        </w:rPr>
        <w:t xml:space="preserve"> / В.Д. Хейлик, Е.И. Гейченко // Русский язык, литература, культура в школе и вузе. – 2010. – №2 (32). – С. 49 – 54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Барт Р. Фрагменты речи влюблённого. Пер. с франц. В. Лапицкого / Ролан Барт. – М.: Азбука-Классика, 2003. – 432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Эпштейн М. Постмодерн в русской литературе: Учеб. пособие для вузов / М</w:t>
      </w:r>
      <w:r>
        <w:rPr>
          <w:sz w:val="28"/>
          <w:szCs w:val="28"/>
          <w:lang w:val="uk-UA"/>
        </w:rPr>
        <w:t xml:space="preserve">ихаил </w:t>
      </w:r>
      <w:r>
        <w:rPr>
          <w:sz w:val="28"/>
          <w:szCs w:val="28"/>
        </w:rPr>
        <w:t xml:space="preserve">Эпштейн. – М.: Высш. шк., 2005. – 459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Андрухович Ю. Лексикон </w:t>
      </w:r>
      <w:r>
        <w:rPr>
          <w:bCs/>
          <w:sz w:val="28"/>
          <w:szCs w:val="28"/>
          <w:shd w:val="clear" w:color="auto" w:fill="FFFFFF"/>
        </w:rPr>
        <w:t>інтимних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міст</w:t>
      </w:r>
      <w:r>
        <w:rPr>
          <w:sz w:val="28"/>
          <w:szCs w:val="28"/>
          <w:shd w:val="clear" w:color="auto" w:fill="FFFFFF"/>
        </w:rPr>
        <w:t>. Дов</w:t>
      </w:r>
      <w:r>
        <w:rPr>
          <w:sz w:val="28"/>
          <w:szCs w:val="28"/>
          <w:shd w:val="clear" w:color="auto" w:fill="FFFFFF"/>
          <w:lang w:val="uk-UA"/>
        </w:rPr>
        <w:t>ільний посібник з геопоетики та космополітки /</w:t>
      </w:r>
      <w:r>
        <w:rPr>
          <w:sz w:val="28"/>
          <w:szCs w:val="28"/>
          <w:lang w:val="uk-UA"/>
        </w:rPr>
        <w:t xml:space="preserve"> Юрій Андрухович.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К.</w:t>
      </w:r>
      <w:r>
        <w:rPr>
          <w:sz w:val="28"/>
          <w:szCs w:val="28"/>
          <w:shd w:val="clear" w:color="auto" w:fill="FFFFFF"/>
        </w:rPr>
        <w:t>: Meridian Czernowitz</w:t>
      </w:r>
      <w:r>
        <w:rPr>
          <w:sz w:val="28"/>
          <w:szCs w:val="28"/>
          <w:shd w:val="clear" w:color="auto" w:fill="FFFFFF"/>
          <w:lang w:val="uk-UA"/>
        </w:rPr>
        <w:t>, Майстер книг,</w:t>
      </w:r>
      <w:r>
        <w:rPr>
          <w:sz w:val="28"/>
          <w:szCs w:val="28"/>
          <w:shd w:val="clear" w:color="auto" w:fill="FFFFFF"/>
        </w:rPr>
        <w:t xml:space="preserve"> 2011.</w:t>
      </w:r>
      <w:r>
        <w:rPr>
          <w:sz w:val="28"/>
          <w:szCs w:val="28"/>
          <w:shd w:val="clear" w:color="auto" w:fill="FFFFFF"/>
          <w:lang w:val="uk-UA"/>
        </w:rPr>
        <w:t xml:space="preserve"> – 480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Артёмова (Грязнова) В.В. Компьютерные технологии на начальном этапе обучения РКИ / Виктория Грязнова. // Актуальные проблемы методики 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Тверь: СТАНА, 2006.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С. 23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27.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Бершадский А.М. Дистанционное образование: региональный аспект / Анатолий Бершадский, Игорь Кревский. // Дистанционное образование. – 1998.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№1. – С.37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41.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Бондарева</w:t>
      </w:r>
      <w:r>
        <w:rPr>
          <w:color w:val="000000"/>
          <w:sz w:val="28"/>
          <w:szCs w:val="28"/>
          <w:shd w:val="clear" w:color="auto" w:fill="FFFFFF"/>
        </w:rPr>
        <w:t> О.В. К вопросу методического обеспечения учебного процесса при </w:t>
      </w:r>
      <w:r>
        <w:rPr>
          <w:color w:val="000000"/>
          <w:sz w:val="28"/>
          <w:szCs w:val="28"/>
        </w:rPr>
        <w:t>дистанционной</w:t>
      </w:r>
      <w:r>
        <w:rPr>
          <w:color w:val="000000"/>
          <w:sz w:val="28"/>
          <w:szCs w:val="28"/>
          <w:shd w:val="clear" w:color="auto" w:fill="FFFFFF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М.: </w:t>
      </w:r>
      <w:r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  <w:shd w:val="clear" w:color="auto" w:fill="FFFFFF"/>
        </w:rPr>
        <w:t> «</w:t>
      </w:r>
      <w:r>
        <w:rPr>
          <w:color w:val="000000"/>
          <w:sz w:val="28"/>
          <w:szCs w:val="28"/>
        </w:rPr>
        <w:t>Диона</w:t>
      </w:r>
      <w:r>
        <w:rPr>
          <w:color w:val="000000"/>
          <w:sz w:val="28"/>
          <w:szCs w:val="28"/>
          <w:shd w:val="clear" w:color="auto" w:fill="FFFFFF"/>
        </w:rPr>
        <w:t xml:space="preserve">», 2008. – С. 298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301.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Семиченко В.А. Пріоритети професійної підготовки: діяльнісний чи особистісний підхід? / Володимир Семиченко. // Неперервна професійна освіта: проблеми, пошуки, перспективи: Монографія. – Київ: Видавництво «Віпол», 2000. – С. 176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203.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Солдатенков М.М. Теоретико-методологічні основи розвитку самостійної пізнавальної діяльності майбутнього вчителя: автореф. дис…. докт. пед. наук: 13.00.04. / Михайло Солдатенков. – К.: КПН, 2007. – 40с.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Чернилевский Д.В. Дидактические технологии в высшей школе: Учебн. пособие для вузов / Дмитрий Чернилевский. – М.: ЮНИТО – ДАНА, 2002. – 437с.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Степанченко И.И. Поэтический язык Сергея Есенина (анализ лексики) / Иван Степанченко. – Харьков: ХГПИ, 1991. – 189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</w:rPr>
        <w:t>Гендерная психология</w:t>
      </w:r>
      <w:r>
        <w:rPr>
          <w:sz w:val="28"/>
          <w:szCs w:val="28"/>
        </w:rPr>
        <w:t xml:space="preserve">: практикум / </w:t>
      </w:r>
      <w:r>
        <w:rPr>
          <w:iCs/>
          <w:sz w:val="28"/>
          <w:szCs w:val="28"/>
        </w:rPr>
        <w:t>ред. И. С. Клецина.</w:t>
      </w:r>
      <w:r>
        <w:rPr>
          <w:iCs/>
          <w:sz w:val="28"/>
          <w:szCs w:val="28"/>
          <w:lang w:val="uk-UA"/>
        </w:rPr>
        <w:t xml:space="preserve"> –                        </w:t>
      </w:r>
      <w:r>
        <w:rPr>
          <w:iCs/>
          <w:sz w:val="28"/>
          <w:szCs w:val="28"/>
        </w:rPr>
        <w:t>2-е изд</w:t>
      </w:r>
      <w:r>
        <w:rPr>
          <w:sz w:val="28"/>
          <w:szCs w:val="28"/>
        </w:rPr>
        <w:t xml:space="preserve">., перераб. и доп. </w:t>
      </w:r>
      <w:r>
        <w:rPr>
          <w:iCs/>
          <w:sz w:val="28"/>
          <w:szCs w:val="28"/>
        </w:rPr>
        <w:t>– СПб.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 xml:space="preserve">Питер, 2009. </w:t>
      </w:r>
      <w:r>
        <w:rPr>
          <w:iCs/>
          <w:sz w:val="28"/>
          <w:szCs w:val="28"/>
          <w:lang w:val="uk-UA"/>
        </w:rPr>
        <w:t xml:space="preserve">– </w:t>
      </w:r>
      <w:r>
        <w:rPr>
          <w:iCs/>
          <w:sz w:val="28"/>
          <w:szCs w:val="28"/>
        </w:rPr>
        <w:t>496 с</w:t>
      </w:r>
      <w:r>
        <w:rPr>
          <w:sz w:val="28"/>
          <w:szCs w:val="28"/>
        </w:rPr>
        <w:t>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Кон И. С. Совместное и раздельное обучение: научно-теоретические основы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</w:t>
      </w:r>
      <w:r>
        <w:rPr>
          <w:sz w:val="28"/>
          <w:szCs w:val="28"/>
          <w:lang w:val="uk-UA"/>
        </w:rPr>
        <w:t>Режим доступа:</w:t>
      </w:r>
      <w:r>
        <w:rPr>
          <w:iCs/>
          <w:sz w:val="28"/>
          <w:szCs w:val="28"/>
          <w:lang w:val="uk-UA"/>
        </w:rPr>
        <w:t xml:space="preserve"> </w:t>
      </w:r>
      <w:hyperlink w:history="1">
        <w:r>
          <w:rPr>
            <w:rStyle w:val="a3"/>
            <w:sz w:val="28"/>
            <w:szCs w:val="28"/>
          </w:rPr>
          <w:t>http://sexology. narod.ru/info157.html</w:t>
        </w:r>
      </w:hyperlink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Закон України « Про забезпечення рівних прав та можливостей жінок і чоловіків» (</w:t>
      </w:r>
      <w:r>
        <w:rPr>
          <w:color w:val="000000"/>
          <w:sz w:val="28"/>
          <w:szCs w:val="28"/>
          <w:lang w:val="uk-UA"/>
        </w:rPr>
        <w:t xml:space="preserve">Відомості Верховної Ради України (ВВР).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2005.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№ 52, ст. 561.  </w:t>
      </w:r>
      <w:bookmarkStart w:id="0" w:name="o4"/>
      <w:bookmarkEnd w:id="0"/>
      <w:r>
        <w:rPr>
          <w:color w:val="000000"/>
          <w:sz w:val="28"/>
          <w:szCs w:val="28"/>
          <w:lang w:val="uk-UA"/>
        </w:rPr>
        <w:t>{Із змінами, внесеними згідно із Законом № 4719-</w:t>
      </w:r>
      <w:r>
        <w:rPr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  <w:lang w:val="uk-UA"/>
        </w:rPr>
        <w:t xml:space="preserve"> (</w:t>
      </w:r>
      <w:hyperlink r:id="rId6" w:tgtFrame="_blank" w:history="1">
        <w:r>
          <w:rPr>
            <w:rStyle w:val="a3"/>
            <w:iCs/>
            <w:color w:val="000000"/>
            <w:sz w:val="28"/>
            <w:szCs w:val="28"/>
            <w:lang w:val="uk-UA"/>
          </w:rPr>
          <w:t>4719-17</w:t>
        </w:r>
      </w:hyperlink>
      <w:r>
        <w:rPr>
          <w:color w:val="000000"/>
          <w:sz w:val="28"/>
          <w:szCs w:val="28"/>
          <w:lang w:val="uk-UA"/>
        </w:rPr>
        <w:t xml:space="preserve">) від 17.05.2012, ВВР, 2013, №  15, ст. 97}.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 И. С. Введение в сексологию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М.: Медицина, 1989. – 33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Изумрудов Ю.А. Лирика Сергея Клычкова: автореф. дис. …канд. филол. наук: 10.01.02 / Юрий Александрович Изумрудов. – Нижний Новгород: АСПЕКТ, 1993. – 18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Неженец Н.И. Поэтическая мифология Сергея Клычкова / Надежда Неженец // Русская речь. – М.: Наука, 1987. –  С. 119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125.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Савушкина Н.И. Фольклоризм ранней поэзии С. Клычкова (стихотворный цикл «Кольцо Лады») / Н.И. Савушкина // Филологические науки. – М.: Высшая школа, 1990. – № 4. – С. 20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24.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Луцький Ю. Комуністична партійність – основний принцип радянського мистецтва / Ю. Луцький. – К.: Мистецтво, 1964. – 95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Перерва А. Живіть, жита. Вірші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 Анато</w:t>
      </w:r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Х.: Прапор, 1978.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63с.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Перерва А. Голоси криниць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 Анато</w:t>
      </w:r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Х.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«Прапор», 1981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141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Перерва А. Серед білого дня: Поезія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Анато</w:t>
      </w:r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 xml:space="preserve">. – К.: Рад.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исьменник, 1984.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170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Бердяев Н. Эрос и личность: Философия пола и любви / Николай Бердяев. – СПб.: Издательский Дом «Азбука-классика», 2007. – 224 с. 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Бернадська Н. Український роман: теоретичні проблеми і жанрова еволюція: Монографія / Ніна Бернадська.– К., 2004. – 368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Бетко І. Архетипальна постать блазня в українській постмодерній прозі / Ірина Бетко  // Слово і час. – 2009. – № 3. – С. 54 – 63.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Бетко І. Осмислення нумінозного досвіду в поезії Богдана-Ігоря Антонича / Ірина Бетко // Бетко І. Українська релігійно-філософська поезія. Етапи розвитку. – </w:t>
      </w:r>
      <w:r>
        <w:rPr>
          <w:sz w:val="28"/>
          <w:szCs w:val="28"/>
        </w:rPr>
        <w:t>Katowice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Wydawnictwo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Uniwersytetu</w:t>
      </w:r>
      <w:r>
        <w:rPr>
          <w:sz w:val="28"/>
          <w:szCs w:val="28"/>
          <w:lang w:val="uk-UA"/>
        </w:rPr>
        <w:t xml:space="preserve"> Ś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ą</w:t>
      </w:r>
      <w:r>
        <w:rPr>
          <w:sz w:val="28"/>
          <w:szCs w:val="28"/>
        </w:rPr>
        <w:t>skiego</w:t>
      </w:r>
      <w:r>
        <w:rPr>
          <w:sz w:val="28"/>
          <w:szCs w:val="28"/>
          <w:lang w:val="uk-UA"/>
        </w:rPr>
        <w:t xml:space="preserve">, 2003. – С. 174 – 209. 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Білоцерківець Н. Бу-Ба-Бу та ін. Український літературний неоавангард: портрет одного року / Наталка Білоцерківець // Слово і Час. – 1991. – Ч. 1. – С. 18 – 25.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Бланшо М. Взгляд Орфея</w:t>
      </w:r>
      <w:r>
        <w:rPr>
          <w:sz w:val="28"/>
          <w:szCs w:val="28"/>
          <w:lang w:val="uk-UA"/>
        </w:rPr>
        <w:t xml:space="preserve"> / Морис Бланшо </w:t>
      </w:r>
      <w:r>
        <w:rPr>
          <w:sz w:val="28"/>
          <w:szCs w:val="28"/>
        </w:rPr>
        <w:t>// Ожидание забвения. – СПб.: Амфора,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2000. – С. 60 – 72.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Блюм Х. Каббала и литературная критика</w:t>
        </w:r>
      </w:hyperlink>
      <w:r>
        <w:rPr>
          <w:sz w:val="28"/>
          <w:szCs w:val="28"/>
          <w:lang w:val="uk-UA"/>
        </w:rPr>
        <w:t xml:space="preserve"> / Херольд Блюм</w:t>
      </w:r>
      <w:r>
        <w:rPr>
          <w:sz w:val="28"/>
          <w:szCs w:val="28"/>
        </w:rPr>
        <w:t xml:space="preserve"> // Таргум. Еврейское наследие в контексте мировой культуры.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Вып. 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1990.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М., 1990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 45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Бовуар С. де. Мандарин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/ Симона де Бовуар</w:t>
      </w:r>
      <w:r>
        <w:rPr>
          <w:sz w:val="28"/>
          <w:szCs w:val="28"/>
        </w:rPr>
        <w:t>. – М.</w:t>
      </w:r>
      <w:r>
        <w:rPr>
          <w:sz w:val="28"/>
          <w:szCs w:val="28"/>
          <w:lang w:val="uk-UA"/>
        </w:rPr>
        <w:t>: АСТЕЛЬ</w:t>
      </w:r>
      <w:r>
        <w:rPr>
          <w:sz w:val="28"/>
          <w:szCs w:val="28"/>
        </w:rPr>
        <w:t>, 2005.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618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Бодрийар Ж. </w:t>
      </w:r>
      <w:r>
        <w:rPr>
          <w:sz w:val="28"/>
          <w:szCs w:val="28"/>
        </w:rPr>
        <w:t>Забыть Фуко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Перевод с фр. Д. Калугин</w:t>
      </w:r>
      <w:r>
        <w:rPr>
          <w:sz w:val="28"/>
          <w:szCs w:val="28"/>
          <w:lang w:val="uk-UA"/>
        </w:rPr>
        <w:t xml:space="preserve"> / Жан Бодрийар. </w:t>
      </w:r>
      <w:r>
        <w:rPr>
          <w:sz w:val="28"/>
          <w:szCs w:val="28"/>
        </w:rPr>
        <w:t>– СПб: «Владимир Даль», 2000. – 95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Бодрийяр Ж. Символический обмен и смерть / Жан Бодрийар. – </w:t>
      </w:r>
      <w:r>
        <w:rPr>
          <w:sz w:val="28"/>
          <w:szCs w:val="28"/>
        </w:rPr>
        <w:t>М.: "Добросвет"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2000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387 с</w:t>
      </w:r>
      <w:r>
        <w:rPr>
          <w:sz w:val="28"/>
          <w:szCs w:val="28"/>
          <w:lang w:val="uk-UA"/>
        </w:rPr>
        <w:t>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TimesNewRomanPSMT"/>
          <w:sz w:val="28"/>
          <w:szCs w:val="28"/>
        </w:rPr>
        <w:t xml:space="preserve">Деррида Ж. Голос и феномен </w:t>
      </w:r>
      <w:r>
        <w:rPr>
          <w:rFonts w:eastAsia="HiddenHorzOCR"/>
          <w:sz w:val="28"/>
          <w:szCs w:val="28"/>
        </w:rPr>
        <w:t>и другие работы по теории знака Гуссерля</w:t>
      </w:r>
      <w:r>
        <w:rPr>
          <w:rFonts w:eastAsia="HiddenHorzOCR"/>
          <w:sz w:val="28"/>
          <w:szCs w:val="28"/>
          <w:lang w:val="uk-UA"/>
        </w:rPr>
        <w:t xml:space="preserve"> / Жак Деррида</w:t>
      </w:r>
      <w:r>
        <w:rPr>
          <w:rFonts w:eastAsia="TimesNewRomanPSMT"/>
          <w:sz w:val="28"/>
          <w:szCs w:val="28"/>
        </w:rPr>
        <w:t>. –</w:t>
      </w:r>
      <w:r>
        <w:rPr>
          <w:rFonts w:eastAsia="HiddenHorzOCR"/>
          <w:sz w:val="28"/>
          <w:szCs w:val="28"/>
          <w:lang w:val="uk-UA"/>
        </w:rPr>
        <w:t xml:space="preserve"> </w:t>
      </w:r>
      <w:r>
        <w:rPr>
          <w:rFonts w:eastAsia="HiddenHorzOCR"/>
          <w:sz w:val="28"/>
          <w:szCs w:val="28"/>
        </w:rPr>
        <w:t>СПб.: Алете</w:t>
      </w:r>
      <w:r>
        <w:rPr>
          <w:rFonts w:eastAsia="HiddenHorzOCR"/>
          <w:sz w:val="28"/>
          <w:szCs w:val="28"/>
          <w:lang w:val="uk-UA"/>
        </w:rPr>
        <w:t>й</w:t>
      </w:r>
      <w:r>
        <w:rPr>
          <w:rFonts w:eastAsia="HiddenHorzOCR"/>
          <w:sz w:val="28"/>
          <w:szCs w:val="28"/>
        </w:rPr>
        <w:t>я</w:t>
      </w:r>
      <w:r>
        <w:rPr>
          <w:rFonts w:eastAsia="HiddenHorzOCR"/>
          <w:sz w:val="28"/>
          <w:szCs w:val="28"/>
          <w:lang w:val="uk-UA"/>
        </w:rPr>
        <w:t>,</w:t>
      </w:r>
      <w:r>
        <w:rPr>
          <w:rFonts w:eastAsia="HiddenHorzOCR"/>
          <w:sz w:val="28"/>
          <w:szCs w:val="28"/>
        </w:rPr>
        <w:t xml:space="preserve"> 1999. – 206 с. 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Деррида Ж. Эссе об имени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Пер. с фр. Н.А. Шматко</w:t>
      </w:r>
      <w:r>
        <w:rPr>
          <w:sz w:val="28"/>
          <w:szCs w:val="28"/>
          <w:lang w:val="uk-UA"/>
        </w:rPr>
        <w:t xml:space="preserve"> / </w:t>
      </w:r>
      <w:r>
        <w:rPr>
          <w:rFonts w:eastAsia="HiddenHorzOCR"/>
          <w:sz w:val="28"/>
          <w:szCs w:val="28"/>
          <w:lang w:val="uk-UA"/>
        </w:rPr>
        <w:t>Жак Деррида</w:t>
      </w:r>
      <w:r>
        <w:rPr>
          <w:sz w:val="28"/>
          <w:szCs w:val="28"/>
        </w:rPr>
        <w:t>. – М.: Институт экспериментальной социологии; СПб: Алетейя, 1998. – 192 с.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Дроздовський Д. Ловець «Таємниці» Юрія Андруховича, або Сім днів, які змінили світ / Дмитро Дроздовський // Кур’єр Кривбасу. – 2007. – № 212-213. – Лип.-Серп. – С. 56 – 61.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Евтушенко С. Эрос и агапе: гносеологический аспект</w:t>
      </w:r>
      <w:r>
        <w:rPr>
          <w:sz w:val="28"/>
          <w:szCs w:val="28"/>
          <w:lang w:val="uk-UA"/>
        </w:rPr>
        <w:t xml:space="preserve"> / Сергей Евтушенко </w:t>
      </w:r>
      <w:r>
        <w:rPr>
          <w:sz w:val="28"/>
          <w:szCs w:val="28"/>
        </w:rPr>
        <w:t>// Вопросы философии. – 1999. –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10. – С. 99 – 109.</w:t>
      </w:r>
    </w:p>
    <w:p w:rsidR="00527797" w:rsidRDefault="00527797" w:rsidP="005277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</w:rPr>
        <w:t>Евсюков</w:t>
      </w:r>
      <w:r>
        <w:rPr>
          <w:sz w:val="28"/>
          <w:szCs w:val="28"/>
          <w:shd w:val="clear" w:color="auto" w:fill="FFFFFF"/>
        </w:rPr>
        <w:t> В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Мифы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вселенной</w:t>
      </w:r>
      <w:r>
        <w:rPr>
          <w:bCs/>
          <w:sz w:val="28"/>
          <w:szCs w:val="28"/>
          <w:shd w:val="clear" w:color="auto" w:fill="FFFFFF"/>
          <w:lang w:val="uk-UA"/>
        </w:rPr>
        <w:t xml:space="preserve"> / Валерий Владимирович Евсюков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— Новосибирск: Наука, 1988.— (Серия «Из истории мировой культуры»)</w:t>
      </w:r>
      <w:r>
        <w:rPr>
          <w:sz w:val="28"/>
          <w:szCs w:val="28"/>
          <w:shd w:val="clear" w:color="auto" w:fill="FFFFFF"/>
          <w:lang w:val="uk-UA"/>
        </w:rPr>
        <w:t xml:space="preserve">. – 452 с. </w:t>
      </w:r>
    </w:p>
    <w:p w:rsidR="00527797" w:rsidRDefault="00527797" w:rsidP="00527797">
      <w:pPr>
        <w:jc w:val="both"/>
        <w:rPr>
          <w:rFonts w:eastAsiaTheme="minorHAnsi"/>
          <w:sz w:val="22"/>
          <w:szCs w:val="22"/>
          <w:lang w:eastAsia="en-US"/>
        </w:rPr>
      </w:pPr>
    </w:p>
    <w:p w:rsidR="00527797" w:rsidRPr="002C4C83" w:rsidRDefault="00527797">
      <w:pPr>
        <w:rPr>
          <w:lang w:val="uk-UA"/>
        </w:rPr>
      </w:pPr>
      <w:bookmarkStart w:id="1" w:name="_GoBack"/>
      <w:bookmarkEnd w:id="1"/>
    </w:p>
    <w:sectPr w:rsidR="00527797" w:rsidRPr="002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7E"/>
    <w:rsid w:val="0017783B"/>
    <w:rsid w:val="002C4C83"/>
    <w:rsid w:val="00527797"/>
    <w:rsid w:val="00B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7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7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-dejavu.ru/b/Blum_cabb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719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2779</Words>
  <Characters>15844</Characters>
  <Application>Microsoft Office Word</Application>
  <DocSecurity>0</DocSecurity>
  <Lines>132</Lines>
  <Paragraphs>37</Paragraphs>
  <ScaleCrop>false</ScaleCrop>
  <Company/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2015-02-17T20:46:00Z</dcterms:created>
  <dcterms:modified xsi:type="dcterms:W3CDTF">2015-02-17T21:49:00Z</dcterms:modified>
</cp:coreProperties>
</file>