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221"/>
        <w:gridCol w:w="875"/>
        <w:gridCol w:w="3758"/>
      </w:tblGrid>
      <w:tr w:rsidR="00635821" w:rsidRPr="007C24A2" w:rsidTr="00911CEF">
        <w:tc>
          <w:tcPr>
            <w:tcW w:w="5221" w:type="dxa"/>
          </w:tcPr>
          <w:p w:rsidR="00635821" w:rsidRPr="007C24A2" w:rsidRDefault="00635821" w:rsidP="00635821">
            <w:pPr>
              <w:spacing w:line="360" w:lineRule="auto"/>
              <w:jc w:val="both"/>
              <w:rPr>
                <w:sz w:val="28"/>
                <w:szCs w:val="28"/>
                <w:lang w:val="uk-UA"/>
              </w:rPr>
            </w:pPr>
            <w:r w:rsidRPr="007C24A2">
              <w:rPr>
                <w:sz w:val="28"/>
                <w:szCs w:val="28"/>
                <w:lang w:val="uk-UA"/>
              </w:rPr>
              <w:t>Викладач</w:t>
            </w:r>
          </w:p>
        </w:tc>
        <w:tc>
          <w:tcPr>
            <w:tcW w:w="875" w:type="dxa"/>
          </w:tcPr>
          <w:p w:rsidR="00635821" w:rsidRPr="007C24A2" w:rsidRDefault="00635821" w:rsidP="00635821">
            <w:pPr>
              <w:spacing w:line="360" w:lineRule="auto"/>
              <w:jc w:val="both"/>
              <w:rPr>
                <w:sz w:val="28"/>
                <w:szCs w:val="28"/>
                <w:lang w:val="uk-UA"/>
              </w:rPr>
            </w:pPr>
          </w:p>
        </w:tc>
        <w:tc>
          <w:tcPr>
            <w:tcW w:w="3758" w:type="dxa"/>
          </w:tcPr>
          <w:p w:rsidR="00635821" w:rsidRPr="007C24A2" w:rsidRDefault="00635821" w:rsidP="00635821">
            <w:pPr>
              <w:spacing w:line="360" w:lineRule="auto"/>
              <w:jc w:val="both"/>
              <w:rPr>
                <w:sz w:val="28"/>
                <w:szCs w:val="28"/>
                <w:lang w:val="uk-UA"/>
              </w:rPr>
            </w:pPr>
            <w:r w:rsidRPr="007C24A2">
              <w:rPr>
                <w:sz w:val="28"/>
                <w:szCs w:val="28"/>
                <w:lang w:val="uk-UA"/>
              </w:rPr>
              <w:t>М.В.Пєхарєва</w:t>
            </w:r>
          </w:p>
          <w:p w:rsidR="00635821" w:rsidRPr="007C24A2" w:rsidRDefault="00635821" w:rsidP="00635821">
            <w:pPr>
              <w:spacing w:line="360" w:lineRule="auto"/>
              <w:jc w:val="both"/>
              <w:rPr>
                <w:sz w:val="28"/>
                <w:szCs w:val="28"/>
                <w:lang w:val="uk-UA"/>
              </w:rPr>
            </w:pPr>
            <w:r w:rsidRPr="007C24A2">
              <w:rPr>
                <w:sz w:val="28"/>
                <w:szCs w:val="28"/>
                <w:lang w:val="uk-UA"/>
              </w:rPr>
              <w:t>(</w:t>
            </w:r>
            <w:r>
              <w:rPr>
                <w:sz w:val="28"/>
                <w:szCs w:val="28"/>
                <w:lang w:val="uk-UA"/>
              </w:rPr>
              <w:t xml:space="preserve">розд. </w:t>
            </w:r>
            <w:r w:rsidRPr="007C24A2">
              <w:rPr>
                <w:sz w:val="28"/>
                <w:szCs w:val="28"/>
                <w:lang w:val="uk-UA"/>
              </w:rPr>
              <w:t>1.21)</w:t>
            </w:r>
          </w:p>
        </w:tc>
      </w:tr>
    </w:tbl>
    <w:p w:rsidR="00635821" w:rsidRDefault="00635821" w:rsidP="00635821">
      <w:pPr>
        <w:spacing w:line="360" w:lineRule="auto"/>
        <w:jc w:val="center"/>
        <w:rPr>
          <w:b/>
          <w:sz w:val="28"/>
          <w:szCs w:val="28"/>
          <w:lang w:val="uk-UA"/>
        </w:rPr>
      </w:pPr>
    </w:p>
    <w:p w:rsidR="00635821" w:rsidRDefault="00635821" w:rsidP="00635821">
      <w:pPr>
        <w:spacing w:line="360" w:lineRule="auto"/>
        <w:jc w:val="center"/>
        <w:rPr>
          <w:b/>
          <w:sz w:val="28"/>
          <w:szCs w:val="28"/>
          <w:lang w:val="uk-UA"/>
        </w:rPr>
      </w:pPr>
      <w:r w:rsidRPr="00635821">
        <w:rPr>
          <w:b/>
          <w:sz w:val="28"/>
          <w:szCs w:val="28"/>
          <w:lang w:val="uk-UA"/>
        </w:rPr>
        <w:t>Вплив парадигматичної організації тексту на його глибину</w:t>
      </w:r>
    </w:p>
    <w:p w:rsidR="00635821" w:rsidRPr="00635821" w:rsidRDefault="00635821" w:rsidP="00635821">
      <w:pPr>
        <w:spacing w:line="360" w:lineRule="auto"/>
        <w:jc w:val="center"/>
        <w:rPr>
          <w:b/>
          <w:sz w:val="28"/>
          <w:szCs w:val="28"/>
          <w:lang w:val="uk-UA"/>
        </w:rPr>
      </w:pPr>
    </w:p>
    <w:p w:rsidR="00635821" w:rsidRPr="007C24A2" w:rsidRDefault="00635821" w:rsidP="00635821">
      <w:pPr>
        <w:spacing w:line="360" w:lineRule="auto"/>
        <w:ind w:firstLine="709"/>
        <w:jc w:val="both"/>
        <w:rPr>
          <w:sz w:val="28"/>
          <w:szCs w:val="28"/>
        </w:rPr>
      </w:pPr>
      <w:r w:rsidRPr="007C24A2">
        <w:rPr>
          <w:sz w:val="28"/>
          <w:szCs w:val="28"/>
          <w:lang w:val="uk-UA"/>
        </w:rPr>
        <w:t>1.21</w:t>
      </w:r>
      <w:r>
        <w:rPr>
          <w:sz w:val="28"/>
          <w:szCs w:val="28"/>
          <w:lang w:val="uk-UA"/>
        </w:rPr>
        <w:t>.</w:t>
      </w:r>
      <w:r w:rsidRPr="007C24A2">
        <w:rPr>
          <w:sz w:val="28"/>
          <w:szCs w:val="28"/>
          <w:lang w:val="uk-UA"/>
        </w:rPr>
        <w:t xml:space="preserve"> </w:t>
      </w:r>
      <w:r w:rsidRPr="00C12075">
        <w:rPr>
          <w:sz w:val="28"/>
          <w:szCs w:val="28"/>
          <w:lang w:val="uk-UA"/>
        </w:rPr>
        <w:t>Антропоцентрич</w:t>
      </w:r>
      <w:r w:rsidRPr="007C24A2">
        <w:rPr>
          <w:sz w:val="28"/>
          <w:szCs w:val="28"/>
          <w:lang w:val="uk-UA"/>
        </w:rPr>
        <w:t>на</w:t>
      </w:r>
      <w:r w:rsidRPr="00C12075">
        <w:rPr>
          <w:sz w:val="28"/>
          <w:szCs w:val="28"/>
          <w:lang w:val="uk-UA"/>
        </w:rPr>
        <w:t xml:space="preserve"> орієнтація сучасного мовознавства передбачає аналіз тексту, що відображає особливості сприйняття тексту людиною. Для цього необхідний облік таких параметрів, як складність організації тексту і варіативність його змісту. Видається за доцільн</w:t>
      </w:r>
      <w:r w:rsidRPr="007C24A2">
        <w:rPr>
          <w:sz w:val="28"/>
          <w:szCs w:val="28"/>
        </w:rPr>
        <w:t>е введення такої текстової категорії, як глибина тексту, для обліку цих параметрів. Необхідність використання даної текстової категорії зумовлена​необхідністю теоретичного опису наявних інтуїтивних розмежувань, що виникають у ході сприйняття тексту.</w:t>
      </w:r>
    </w:p>
    <w:p w:rsidR="00635821" w:rsidRPr="007C24A2" w:rsidRDefault="00635821" w:rsidP="00635821">
      <w:pPr>
        <w:spacing w:line="360" w:lineRule="auto"/>
        <w:ind w:firstLine="709"/>
        <w:jc w:val="both"/>
        <w:rPr>
          <w:sz w:val="28"/>
          <w:szCs w:val="28"/>
        </w:rPr>
      </w:pPr>
      <w:r w:rsidRPr="007C24A2">
        <w:rPr>
          <w:sz w:val="28"/>
          <w:szCs w:val="28"/>
        </w:rPr>
        <w:t>У даний роботі приймається точка зору, згідно з якою глибина тексту є текстової категорією, що відображає ступінь протиставлення мовних відносин відносинам розумовим [</w:t>
      </w:r>
      <w:r>
        <w:rPr>
          <w:sz w:val="28"/>
          <w:szCs w:val="28"/>
          <w:lang w:val="uk-UA"/>
        </w:rPr>
        <w:t>84</w:t>
      </w:r>
      <w:r w:rsidRPr="007C24A2">
        <w:rPr>
          <w:sz w:val="28"/>
          <w:szCs w:val="28"/>
        </w:rPr>
        <w:t>] .</w:t>
      </w:r>
    </w:p>
    <w:p w:rsidR="00635821" w:rsidRPr="007C24A2" w:rsidRDefault="00635821" w:rsidP="00635821">
      <w:pPr>
        <w:spacing w:line="360" w:lineRule="auto"/>
        <w:ind w:firstLine="709"/>
        <w:jc w:val="both"/>
        <w:rPr>
          <w:sz w:val="28"/>
          <w:szCs w:val="28"/>
        </w:rPr>
      </w:pPr>
      <w:r w:rsidRPr="007C24A2">
        <w:rPr>
          <w:sz w:val="28"/>
          <w:szCs w:val="28"/>
          <w:lang w:val="uk-UA"/>
        </w:rPr>
        <w:t>Наша мета</w:t>
      </w:r>
      <w:r w:rsidRPr="007C24A2">
        <w:rPr>
          <w:sz w:val="28"/>
          <w:szCs w:val="28"/>
        </w:rPr>
        <w:t xml:space="preserve"> - встановити вплив складу парадигм на глибину тексту на матеріалі творів Єгора Лєтова «Так гартувалася сталь» і Юрія Шевчука «Що таке осінь». Вибір даного матеріалу обумовлений, по-перше, маловивчені</w:t>
      </w:r>
      <w:r w:rsidRPr="007C24A2">
        <w:rPr>
          <w:sz w:val="28"/>
          <w:szCs w:val="28"/>
          <w:lang w:val="uk-UA"/>
        </w:rPr>
        <w:t>стю</w:t>
      </w:r>
      <w:r w:rsidRPr="007C24A2">
        <w:rPr>
          <w:sz w:val="28"/>
          <w:szCs w:val="28"/>
        </w:rPr>
        <w:t xml:space="preserve"> і значимістю творчості цих поетів для російської культури кінця XX - початку XXI століть, а ,по-друге, з тим, що експериментально доведено</w:t>
      </w:r>
      <w:r w:rsidRPr="007C24A2">
        <w:rPr>
          <w:sz w:val="28"/>
          <w:szCs w:val="28"/>
          <w:lang w:val="uk-UA"/>
        </w:rPr>
        <w:t>:</w:t>
      </w:r>
      <w:r w:rsidRPr="007C24A2">
        <w:rPr>
          <w:sz w:val="28"/>
          <w:szCs w:val="28"/>
        </w:rPr>
        <w:t xml:space="preserve"> твір «Що таке осінь » володіє меншою глибиною, ніж твір « Так гартувалася сталь».</w:t>
      </w:r>
    </w:p>
    <w:p w:rsidR="00635821" w:rsidRPr="007C24A2" w:rsidRDefault="00635821" w:rsidP="00635821">
      <w:pPr>
        <w:spacing w:line="360" w:lineRule="auto"/>
        <w:ind w:firstLine="709"/>
        <w:jc w:val="both"/>
        <w:rPr>
          <w:sz w:val="28"/>
          <w:szCs w:val="28"/>
        </w:rPr>
      </w:pPr>
      <w:r w:rsidRPr="007C24A2">
        <w:rPr>
          <w:sz w:val="28"/>
          <w:szCs w:val="28"/>
        </w:rPr>
        <w:t xml:space="preserve">Зміст, що генерується одним і тим же текстом у свідомості різних </w:t>
      </w:r>
      <w:r w:rsidRPr="007C24A2">
        <w:rPr>
          <w:sz w:val="28"/>
          <w:szCs w:val="28"/>
          <w:lang w:val="uk-UA"/>
        </w:rPr>
        <w:t>реципієнтів</w:t>
      </w:r>
      <w:r w:rsidRPr="007C24A2">
        <w:rPr>
          <w:sz w:val="28"/>
          <w:szCs w:val="28"/>
        </w:rPr>
        <w:t xml:space="preserve">, володіє як рисами подібності, так і рисами відмінності. Стабільність, визначеність кордонів варіативності зумовлена​як постійністю форми тексту, так і відносним збігом життєвого досвіду </w:t>
      </w:r>
      <w:r w:rsidRPr="007C24A2">
        <w:rPr>
          <w:sz w:val="28"/>
          <w:szCs w:val="28"/>
          <w:lang w:val="uk-UA"/>
        </w:rPr>
        <w:t>реципієнтів</w:t>
      </w:r>
      <w:r w:rsidRPr="007C24A2">
        <w:rPr>
          <w:sz w:val="28"/>
          <w:szCs w:val="28"/>
        </w:rPr>
        <w:t>, насамперед - їх соціального досвіду. Варіативність тексту визначається як варіативністю вихідних понять, образів, емоцій, так і процесом переструктурування, як</w:t>
      </w:r>
      <w:r w:rsidRPr="007C24A2">
        <w:rPr>
          <w:sz w:val="28"/>
          <w:szCs w:val="28"/>
          <w:lang w:val="uk-UA"/>
        </w:rPr>
        <w:t>ий</w:t>
      </w:r>
      <w:r w:rsidRPr="007C24A2">
        <w:rPr>
          <w:sz w:val="28"/>
          <w:szCs w:val="28"/>
        </w:rPr>
        <w:t xml:space="preserve"> ма</w:t>
      </w:r>
      <w:r w:rsidRPr="007C24A2">
        <w:rPr>
          <w:sz w:val="28"/>
          <w:szCs w:val="28"/>
          <w:lang w:val="uk-UA"/>
        </w:rPr>
        <w:t>є</w:t>
      </w:r>
      <w:r w:rsidRPr="007C24A2">
        <w:rPr>
          <w:sz w:val="28"/>
          <w:szCs w:val="28"/>
        </w:rPr>
        <w:t xml:space="preserve"> місце в ході сприйняття тексту [</w:t>
      </w:r>
      <w:r>
        <w:rPr>
          <w:sz w:val="28"/>
          <w:szCs w:val="28"/>
          <w:lang w:val="uk-UA"/>
        </w:rPr>
        <w:t>84</w:t>
      </w:r>
      <w:r w:rsidRPr="007C24A2">
        <w:rPr>
          <w:sz w:val="28"/>
          <w:szCs w:val="28"/>
        </w:rPr>
        <w:t>] .</w:t>
      </w:r>
    </w:p>
    <w:p w:rsidR="00635821" w:rsidRPr="007C24A2" w:rsidRDefault="00635821" w:rsidP="00635821">
      <w:pPr>
        <w:spacing w:line="360" w:lineRule="auto"/>
        <w:ind w:firstLine="709"/>
        <w:jc w:val="both"/>
        <w:rPr>
          <w:sz w:val="28"/>
          <w:szCs w:val="28"/>
        </w:rPr>
      </w:pPr>
      <w:r w:rsidRPr="007C24A2">
        <w:rPr>
          <w:sz w:val="28"/>
          <w:szCs w:val="28"/>
        </w:rPr>
        <w:lastRenderedPageBreak/>
        <w:t>При сприйнятті тексту реципієнт переходить від текстової синтагматики (сприймаються вербальні образи розташовуються в лінійній послідовності) до розумової парадигматике («предметні» образи групуються у свідомості залежно від виконуваних функцій і рис подібності). Тобто на мовному рівні вербальні образи об'єднуються в синтагми, а на розумовому рівні «предметні» образи об'єднуються в парадигми (система розумових образів, що об'єднує в систему слова , генеруючі дані «предметні образи»), встановлені реципієнтом зв'язку між парадигмами визначають сприйняття змісту тексту. Синтагма «Упевнені тата продовжували похід», що включає в себе чотири вербальних образ</w:t>
      </w:r>
      <w:r w:rsidRPr="007C24A2">
        <w:rPr>
          <w:sz w:val="28"/>
          <w:szCs w:val="28"/>
          <w:lang w:val="uk-UA"/>
        </w:rPr>
        <w:t>и</w:t>
      </w:r>
      <w:r w:rsidRPr="007C24A2">
        <w:rPr>
          <w:sz w:val="28"/>
          <w:szCs w:val="28"/>
        </w:rPr>
        <w:t>, генерує парадигму Становлення держави («зрадни</w:t>
      </w:r>
      <w:r w:rsidRPr="007C24A2">
        <w:rPr>
          <w:sz w:val="28"/>
          <w:szCs w:val="28"/>
          <w:lang w:val="uk-UA"/>
        </w:rPr>
        <w:t>ка-</w:t>
      </w:r>
      <w:r w:rsidRPr="007C24A2">
        <w:rPr>
          <w:sz w:val="28"/>
          <w:szCs w:val="28"/>
        </w:rPr>
        <w:t>дядька повели на розстріл», «Гарненьку тітку потягли в підвал», «В товарні вагони завантажували народ»). Словесні парадигми вичленяються на основі не мовних закономірностей (закономірностей, притаманних системі вербальних образів), а розумових (закономірностей</w:t>
      </w:r>
      <w:r w:rsidRPr="007C24A2">
        <w:rPr>
          <w:sz w:val="28"/>
          <w:szCs w:val="28"/>
          <w:lang w:val="uk-UA"/>
        </w:rPr>
        <w:t>,</w:t>
      </w:r>
      <w:r w:rsidRPr="007C24A2">
        <w:rPr>
          <w:sz w:val="28"/>
          <w:szCs w:val="28"/>
        </w:rPr>
        <w:t xml:space="preserve"> притаманних системі предметних образів, що генеруються вербальними образами).</w:t>
      </w:r>
    </w:p>
    <w:p w:rsidR="00635821" w:rsidRPr="007C24A2" w:rsidRDefault="00635821" w:rsidP="00635821">
      <w:pPr>
        <w:spacing w:line="360" w:lineRule="auto"/>
        <w:ind w:firstLine="709"/>
        <w:jc w:val="both"/>
        <w:rPr>
          <w:sz w:val="28"/>
          <w:szCs w:val="28"/>
        </w:rPr>
      </w:pPr>
      <w:r w:rsidRPr="007C24A2">
        <w:rPr>
          <w:sz w:val="28"/>
          <w:szCs w:val="28"/>
        </w:rPr>
        <w:t>При переструктуруванні текст у свідомості реципієнта співвідноситься з дійсністю, тобто встановлюються зв'язки між вербальними образами (відображенням форми слова у свідомості людини) і «предметними» (образами явищ і ситуацій внетекстовой дійсності). Але зв'язки між вербальними образами в тексті і зв'язки між генерованими ними «предметними» образами можуть не збігатися [</w:t>
      </w:r>
      <w:r>
        <w:rPr>
          <w:sz w:val="28"/>
          <w:szCs w:val="28"/>
          <w:lang w:val="uk-UA"/>
        </w:rPr>
        <w:t>84</w:t>
      </w:r>
      <w:r w:rsidRPr="007C24A2">
        <w:rPr>
          <w:sz w:val="28"/>
          <w:szCs w:val="28"/>
        </w:rPr>
        <w:t>]. Існує гіпотеза, згідно з якою велик</w:t>
      </w:r>
      <w:r w:rsidRPr="007C24A2">
        <w:rPr>
          <w:sz w:val="28"/>
          <w:szCs w:val="28"/>
          <w:lang w:val="uk-UA"/>
        </w:rPr>
        <w:t>ий</w:t>
      </w:r>
      <w:r w:rsidRPr="007C24A2">
        <w:rPr>
          <w:sz w:val="28"/>
          <w:szCs w:val="28"/>
        </w:rPr>
        <w:t xml:space="preserve"> «ступінь сполучення» однієї системи з іншою полегшує сприйняття текст. Ступінь розбіжності зазначених зв'язків і розглядається як глибина тексту. Наприклад, у реченні «Покинуте тіло вкуси</w:t>
      </w:r>
      <w:r w:rsidRPr="007C24A2">
        <w:rPr>
          <w:sz w:val="28"/>
          <w:szCs w:val="28"/>
          <w:lang w:val="uk-UA"/>
        </w:rPr>
        <w:t>в Місяць</w:t>
      </w:r>
      <w:r w:rsidRPr="007C24A2">
        <w:rPr>
          <w:sz w:val="28"/>
          <w:szCs w:val="28"/>
        </w:rPr>
        <w:t>» зв'язк</w:t>
      </w:r>
      <w:r w:rsidRPr="007C24A2">
        <w:rPr>
          <w:sz w:val="28"/>
          <w:szCs w:val="28"/>
          <w:lang w:val="uk-UA"/>
        </w:rPr>
        <w:t>и</w:t>
      </w:r>
      <w:r w:rsidRPr="007C24A2">
        <w:rPr>
          <w:sz w:val="28"/>
          <w:szCs w:val="28"/>
        </w:rPr>
        <w:t xml:space="preserve"> між вербальними образами встановлюються на основі регулярної лексико-граматичної моделі. Але відповідні «предметні» не можуть бути безпосередньо пов'язані між собою, тому такий зв'язок суперечить життєвому досвіду реципієнта (Місяць не може кусати тіло). Вербальні образи синтагми генерують «предметні» образи Смерті, </w:t>
      </w:r>
      <w:r w:rsidRPr="007C24A2">
        <w:rPr>
          <w:sz w:val="28"/>
          <w:szCs w:val="28"/>
          <w:lang w:val="uk-UA"/>
        </w:rPr>
        <w:t>Б</w:t>
      </w:r>
      <w:r w:rsidRPr="007C24A2">
        <w:rPr>
          <w:sz w:val="28"/>
          <w:szCs w:val="28"/>
        </w:rPr>
        <w:t xml:space="preserve">езнадійності, які, вступаючи у </w:t>
      </w:r>
      <w:r w:rsidRPr="007C24A2">
        <w:rPr>
          <w:sz w:val="28"/>
          <w:szCs w:val="28"/>
        </w:rPr>
        <w:lastRenderedPageBreak/>
        <w:t>зв'язку з іншими предметними образами, утворюють парадигму Становлення держави .</w:t>
      </w:r>
    </w:p>
    <w:p w:rsidR="00635821" w:rsidRPr="007C24A2" w:rsidRDefault="00635821" w:rsidP="00635821">
      <w:pPr>
        <w:spacing w:line="360" w:lineRule="auto"/>
        <w:ind w:firstLine="709"/>
        <w:jc w:val="both"/>
        <w:rPr>
          <w:sz w:val="28"/>
          <w:szCs w:val="28"/>
        </w:rPr>
      </w:pPr>
      <w:r w:rsidRPr="007C24A2">
        <w:rPr>
          <w:sz w:val="28"/>
          <w:szCs w:val="28"/>
        </w:rPr>
        <w:t>Таким чином, можна зробити висновок про те, що тексти з різнорідними парадигмами володіють великою глибиною в порівнянні з текстами з однорідними парадигмами. Закономірність взаємозв'язку характеристики складу парадигм і глибини тексту, встановлена​на прикладі цих двох творів, буде справедлива і для інших текстів.</w:t>
      </w:r>
    </w:p>
    <w:p w:rsidR="0017783B" w:rsidRDefault="0017783B"/>
    <w:p w:rsidR="006348C7" w:rsidRDefault="006348C7"/>
    <w:p w:rsidR="006348C7" w:rsidRDefault="006348C7" w:rsidP="006348C7">
      <w:pPr>
        <w:tabs>
          <w:tab w:val="left" w:pos="0"/>
        </w:tabs>
        <w:spacing w:line="360" w:lineRule="auto"/>
        <w:jc w:val="center"/>
        <w:rPr>
          <w:sz w:val="28"/>
          <w:szCs w:val="28"/>
          <w:lang w:val="uk-UA"/>
        </w:rPr>
      </w:pPr>
      <w:r>
        <w:rPr>
          <w:sz w:val="28"/>
          <w:szCs w:val="28"/>
          <w:lang w:val="uk-UA"/>
        </w:rPr>
        <w:t>ПЕРЕЛІК ПОСИЛАНЬ</w:t>
      </w:r>
    </w:p>
    <w:p w:rsidR="006348C7" w:rsidRDefault="006348C7" w:rsidP="006348C7">
      <w:pPr>
        <w:tabs>
          <w:tab w:val="left" w:pos="993"/>
        </w:tabs>
        <w:spacing w:line="360" w:lineRule="auto"/>
        <w:ind w:firstLine="567"/>
        <w:jc w:val="both"/>
        <w:rPr>
          <w:bCs/>
          <w:sz w:val="28"/>
          <w:szCs w:val="28"/>
          <w:lang w:val="uk-UA"/>
        </w:rPr>
      </w:pP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Молчановский В.М. Преподавание русского языка как иностранного. Введение в специальность / Владимир Молчановский, Людмила Шепелевич. – М.: Рус. яз. курсы, 2002. – 298 с.</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Капитонова Т.И. Методы и технологии обучения русскому языку как иностранному / Татьяна Капитоно</w:t>
      </w:r>
      <w:r>
        <w:rPr>
          <w:sz w:val="28"/>
          <w:szCs w:val="28"/>
          <w:lang w:val="uk-UA"/>
        </w:rPr>
        <w:t xml:space="preserve"> </w:t>
      </w:r>
      <w:r>
        <w:rPr>
          <w:sz w:val="28"/>
          <w:szCs w:val="28"/>
        </w:rPr>
        <w:t>ва, Людмила Московкина, Александр Щукин. – М.: Рус. яз. курсы, 2008. – 312 с.</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Гейченко Е. И., Учебная дискуссия – способ творческого развития навыков неподготовленной речи / Екатерина Гейченко, Любовь Васецкая // Педагогіка і психологія формування творчої особистості: проблеми і пошуки. Зб. наук. праць. К. – Запоріжжя, 2001. – Вип. 20. – С. 180-182.</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Скалкин В. Л. Основы обучения устной иноязычной речи / Виктор Скалкин. – М.: Высшая школа, 1981. – 243 с.</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lang w:val="uk-UA"/>
        </w:rPr>
        <w:lastRenderedPageBreak/>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 (практический курс) / Нина Федотова. – СПб: Златоуст, 2013. – 192 с.</w:t>
      </w:r>
    </w:p>
    <w:p w:rsidR="006348C7" w:rsidRDefault="006348C7" w:rsidP="006348C7">
      <w:pPr>
        <w:numPr>
          <w:ilvl w:val="0"/>
          <w:numId w:val="1"/>
        </w:numPr>
        <w:tabs>
          <w:tab w:val="left" w:pos="709"/>
          <w:tab w:val="left" w:pos="1276"/>
        </w:tabs>
        <w:spacing w:line="360" w:lineRule="auto"/>
        <w:ind w:left="0" w:firstLine="709"/>
        <w:jc w:val="both"/>
        <w:rPr>
          <w:sz w:val="28"/>
          <w:szCs w:val="28"/>
        </w:rPr>
      </w:pPr>
      <w:r>
        <w:rPr>
          <w:sz w:val="28"/>
          <w:szCs w:val="28"/>
          <w:lang w:val="uk-UA"/>
        </w:rPr>
        <w:t xml:space="preserve"> </w:t>
      </w:r>
      <w:r>
        <w:rPr>
          <w:sz w:val="28"/>
          <w:szCs w:val="28"/>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Безкоровайная Л.С. Глобус: Практический курс для начинающих изучать русский язык. Часть 1,2. – 4-е изд. перераб. и доп. / Любовь Безкоровайная, Владимир  Штыленко, Елена Штыленко.  – Харьков: ХНАДУ, 2007. – 2оо с.</w:t>
      </w:r>
    </w:p>
    <w:p w:rsidR="006348C7" w:rsidRDefault="006348C7" w:rsidP="006348C7">
      <w:pPr>
        <w:numPr>
          <w:ilvl w:val="0"/>
          <w:numId w:val="1"/>
        </w:numPr>
        <w:tabs>
          <w:tab w:val="left" w:pos="709"/>
        </w:tabs>
        <w:spacing w:line="360" w:lineRule="auto"/>
        <w:ind w:left="0" w:firstLine="709"/>
        <w:jc w:val="both"/>
        <w:rPr>
          <w:sz w:val="28"/>
          <w:szCs w:val="28"/>
          <w:lang w:val="uk-UA"/>
        </w:rPr>
      </w:pPr>
      <w:r>
        <w:rPr>
          <w:sz w:val="28"/>
          <w:szCs w:val="28"/>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6348C7" w:rsidRDefault="006348C7" w:rsidP="006348C7">
      <w:pPr>
        <w:numPr>
          <w:ilvl w:val="0"/>
          <w:numId w:val="1"/>
        </w:numPr>
        <w:tabs>
          <w:tab w:val="left" w:pos="709"/>
        </w:tabs>
        <w:spacing w:line="360" w:lineRule="auto"/>
        <w:ind w:left="0" w:firstLine="709"/>
        <w:jc w:val="both"/>
        <w:rPr>
          <w:sz w:val="28"/>
          <w:szCs w:val="28"/>
          <w:lang w:val="uk-UA"/>
        </w:rPr>
      </w:pPr>
      <w:r>
        <w:rPr>
          <w:sz w:val="28"/>
          <w:szCs w:val="28"/>
          <w:lang w:val="uk-UA"/>
        </w:rPr>
        <w:t>Д’яков А. С. Основи термінотворення: семантичні та соціолінгвістичні аспекти / А. С. Д’яков, Т. Р. Кияк, З. Б. Куделько. – К.: Вид. дім "КМ Academia", 2000. – 218 с.</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rPr>
        <w:t>Ва</w:t>
      </w:r>
      <w:r>
        <w:rPr>
          <w:sz w:val="28"/>
          <w:szCs w:val="28"/>
          <w:lang w:val="uk-UA"/>
        </w:rPr>
        <w:t>й</w:t>
      </w:r>
      <w:r>
        <w:rPr>
          <w:sz w:val="28"/>
          <w:szCs w:val="28"/>
        </w:rPr>
        <w:t>н</w:t>
      </w:r>
      <w:r>
        <w:rPr>
          <w:sz w:val="28"/>
          <w:szCs w:val="28"/>
          <w:lang w:val="uk-UA"/>
        </w:rPr>
        <w:t>райх У</w:t>
      </w:r>
      <w:r>
        <w:rPr>
          <w:sz w:val="28"/>
          <w:szCs w:val="28"/>
        </w:rPr>
        <w:t>. Языковые контакты. Состояние и проблемы исследования / Ульрих Вайнрайх.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lang w:val="uk-UA"/>
        </w:rPr>
        <w:t xml:space="preserve">Шаблій О.А. Міжмовна  інтерференція як психолінгвістична універсалія / Олександра Шаблій. // Мовні і концептуальні картини </w:t>
      </w:r>
      <w:r>
        <w:rPr>
          <w:color w:val="000000"/>
          <w:sz w:val="28"/>
          <w:szCs w:val="28"/>
          <w:lang w:val="uk-UA"/>
        </w:rPr>
        <w:t xml:space="preserve">світу: Зб. 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rPr>
        <w:t xml:space="preserve">Капитонова Т.И. Методика обучения русскому языку как иностранному на этапе предвузовской подготовки / Татьяна Капитонова, Людмила Московкина. – СПб.: Златоуст, 2006. – 398 с. </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rPr>
        <w:t xml:space="preserve">Общая методика обучения иностранным языкам: Хрестоматия / Сост. Леонтьев А.А. – М.: Рус. яз., 1991. – 473 с. </w:t>
      </w:r>
    </w:p>
    <w:p w:rsidR="006348C7" w:rsidRDefault="006348C7" w:rsidP="006348C7">
      <w:pPr>
        <w:numPr>
          <w:ilvl w:val="0"/>
          <w:numId w:val="1"/>
        </w:numPr>
        <w:tabs>
          <w:tab w:val="left" w:pos="709"/>
        </w:tabs>
        <w:spacing w:line="360" w:lineRule="auto"/>
        <w:ind w:left="0" w:firstLine="709"/>
        <w:jc w:val="both"/>
        <w:rPr>
          <w:sz w:val="28"/>
          <w:szCs w:val="28"/>
        </w:rPr>
      </w:pPr>
      <w:r>
        <w:rPr>
          <w:sz w:val="28"/>
          <w:szCs w:val="28"/>
        </w:rPr>
        <w:lastRenderedPageBreak/>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6348C7" w:rsidRDefault="006348C7" w:rsidP="006348C7">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6348C7" w:rsidRDefault="006348C7" w:rsidP="006348C7">
      <w:pPr>
        <w:numPr>
          <w:ilvl w:val="0"/>
          <w:numId w:val="2"/>
        </w:numPr>
        <w:spacing w:line="360" w:lineRule="auto"/>
        <w:ind w:firstLine="709"/>
        <w:jc w:val="both"/>
        <w:rPr>
          <w:sz w:val="28"/>
          <w:szCs w:val="28"/>
        </w:rPr>
      </w:pPr>
      <w:r>
        <w:rPr>
          <w:sz w:val="28"/>
          <w:szCs w:val="28"/>
        </w:rPr>
        <w:t xml:space="preserve">Тер-Минасова С.Г. Язык и межкультурная коммуникация / Светлана Тер-Минасова. – М.: Слово, 2000. – 624 с. </w:t>
      </w:r>
    </w:p>
    <w:p w:rsidR="006348C7" w:rsidRDefault="006348C7" w:rsidP="006348C7">
      <w:pPr>
        <w:numPr>
          <w:ilvl w:val="0"/>
          <w:numId w:val="2"/>
        </w:numPr>
        <w:spacing w:line="360" w:lineRule="auto"/>
        <w:ind w:firstLine="709"/>
        <w:jc w:val="both"/>
        <w:rPr>
          <w:color w:val="000000"/>
          <w:sz w:val="28"/>
          <w:szCs w:val="28"/>
        </w:rPr>
      </w:pPr>
      <w:r>
        <w:rPr>
          <w:sz w:val="28"/>
          <w:szCs w:val="28"/>
        </w:rPr>
        <w:t>Блум Ф. Мозг, разум и поведение: пер.с англ.  Фредерик Блум, Андре Лейзерсон, Людвиг Хофстедтер. –</w:t>
      </w:r>
      <w:r>
        <w:rPr>
          <w:sz w:val="28"/>
          <w:szCs w:val="28"/>
          <w:lang w:val="uk-UA"/>
        </w:rPr>
        <w:t xml:space="preserve"> </w:t>
      </w:r>
      <w:r>
        <w:rPr>
          <w:sz w:val="28"/>
          <w:szCs w:val="28"/>
        </w:rPr>
        <w:t>М.: Мир, 1988. – 248 с.</w:t>
      </w:r>
    </w:p>
    <w:p w:rsidR="006348C7" w:rsidRDefault="006348C7" w:rsidP="006348C7">
      <w:pPr>
        <w:numPr>
          <w:ilvl w:val="0"/>
          <w:numId w:val="2"/>
        </w:numPr>
        <w:spacing w:line="360" w:lineRule="auto"/>
        <w:ind w:firstLine="709"/>
        <w:jc w:val="both"/>
        <w:rPr>
          <w:sz w:val="28"/>
          <w:szCs w:val="28"/>
        </w:rPr>
      </w:pPr>
      <w:r>
        <w:rPr>
          <w:color w:val="000000"/>
          <w:sz w:val="28"/>
          <w:szCs w:val="28"/>
        </w:rPr>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6348C7" w:rsidRDefault="006348C7" w:rsidP="006348C7">
      <w:pPr>
        <w:numPr>
          <w:ilvl w:val="0"/>
          <w:numId w:val="2"/>
        </w:numPr>
        <w:spacing w:line="360" w:lineRule="auto"/>
        <w:ind w:firstLine="709"/>
        <w:jc w:val="both"/>
        <w:rPr>
          <w:sz w:val="28"/>
          <w:szCs w:val="28"/>
        </w:rPr>
      </w:pPr>
      <w:r>
        <w:rPr>
          <w:sz w:val="28"/>
          <w:szCs w:val="28"/>
        </w:rPr>
        <w:t>Тер-Минасова С.Г. Язык и межкультурная коммуникация: (Учеб. пособие) / Светлана Тер-Минасова. – М.: Слово/</w:t>
      </w:r>
      <w:r>
        <w:rPr>
          <w:sz w:val="28"/>
          <w:szCs w:val="28"/>
          <w:lang w:val="en-US"/>
        </w:rPr>
        <w:t>Slovo</w:t>
      </w:r>
      <w:r>
        <w:rPr>
          <w:sz w:val="28"/>
          <w:szCs w:val="28"/>
        </w:rPr>
        <w:t>, 2000. – 624 с.</w:t>
      </w:r>
    </w:p>
    <w:p w:rsidR="006348C7" w:rsidRDefault="006348C7" w:rsidP="006348C7">
      <w:pPr>
        <w:numPr>
          <w:ilvl w:val="0"/>
          <w:numId w:val="2"/>
        </w:numPr>
        <w:spacing w:line="360" w:lineRule="auto"/>
        <w:ind w:firstLine="709"/>
        <w:jc w:val="both"/>
        <w:rPr>
          <w:color w:val="000000"/>
          <w:sz w:val="28"/>
          <w:szCs w:val="28"/>
        </w:rPr>
      </w:pPr>
      <w:r>
        <w:rPr>
          <w:sz w:val="28"/>
          <w:szCs w:val="28"/>
        </w:rPr>
        <w:t>Верещагин Е.М. Язык и культура / Евгений Верещагин, Владимир Костомаров. – М.: Русский язык, 1990. – 246 с.</w:t>
      </w:r>
    </w:p>
    <w:p w:rsidR="006348C7" w:rsidRDefault="006348C7" w:rsidP="006348C7">
      <w:pPr>
        <w:numPr>
          <w:ilvl w:val="0"/>
          <w:numId w:val="2"/>
        </w:numPr>
        <w:spacing w:line="360" w:lineRule="auto"/>
        <w:ind w:firstLine="709"/>
        <w:jc w:val="both"/>
        <w:rPr>
          <w:color w:val="000000"/>
          <w:sz w:val="28"/>
          <w:szCs w:val="28"/>
          <w:lang w:val="uk-UA"/>
        </w:rPr>
      </w:pPr>
      <w:r>
        <w:rPr>
          <w:color w:val="000000"/>
          <w:sz w:val="28"/>
          <w:szCs w:val="28"/>
        </w:rPr>
        <w:t>Гарцов А.Д. Информационно-коммуникационные технологии как способ оптимизации подготовки специалиста в сфере профессионально-делового общения: Учеб. пособие / Андрей Гарцов. – М.: РУДН, 2008. – 127 с</w:t>
      </w:r>
      <w:r>
        <w:rPr>
          <w:rFonts w:eastAsia="Times-Roman"/>
          <w:color w:val="000000"/>
          <w:sz w:val="28"/>
          <w:szCs w:val="28"/>
        </w:rPr>
        <w:t>.</w:t>
      </w:r>
    </w:p>
    <w:p w:rsidR="006348C7" w:rsidRDefault="006348C7" w:rsidP="006348C7">
      <w:pPr>
        <w:numPr>
          <w:ilvl w:val="0"/>
          <w:numId w:val="2"/>
        </w:numPr>
        <w:spacing w:line="360" w:lineRule="auto"/>
        <w:ind w:firstLine="709"/>
        <w:jc w:val="both"/>
        <w:rPr>
          <w:color w:val="000000"/>
          <w:sz w:val="28"/>
          <w:szCs w:val="28"/>
        </w:rPr>
      </w:pPr>
      <w:r>
        <w:rPr>
          <w:color w:val="000000"/>
          <w:sz w:val="28"/>
          <w:szCs w:val="28"/>
        </w:rPr>
        <w:t xml:space="preserve">Зубов А.В. Информационные технологии в лингвистике: Учеб. пособие для студ. лингв. фак-тов высш. учеб. заведений / А.В. Зубов,            И.И. Зубова – М.: Издательский центр «Академия», 2004. – 208 с. </w:t>
      </w:r>
    </w:p>
    <w:p w:rsidR="006348C7" w:rsidRDefault="006348C7" w:rsidP="006348C7">
      <w:pPr>
        <w:numPr>
          <w:ilvl w:val="0"/>
          <w:numId w:val="2"/>
        </w:numPr>
        <w:spacing w:line="360" w:lineRule="auto"/>
        <w:ind w:firstLine="709"/>
        <w:jc w:val="both"/>
        <w:rPr>
          <w:sz w:val="28"/>
          <w:szCs w:val="28"/>
        </w:rPr>
      </w:pPr>
      <w:r>
        <w:rPr>
          <w:color w:val="000000"/>
          <w:sz w:val="28"/>
          <w:szCs w:val="28"/>
        </w:rPr>
        <w:t>Уваров А.Ю. Педагогический дизайн / Анатолий Уваров. // Информатика. – Москва: Изд. дом «Первое сентября», 2003 – №30. – 32 с.</w:t>
      </w:r>
    </w:p>
    <w:p w:rsidR="006348C7" w:rsidRDefault="006348C7" w:rsidP="006348C7">
      <w:pPr>
        <w:numPr>
          <w:ilvl w:val="0"/>
          <w:numId w:val="2"/>
        </w:numPr>
        <w:spacing w:line="360" w:lineRule="auto"/>
        <w:ind w:firstLine="709"/>
        <w:jc w:val="both"/>
        <w:rPr>
          <w:sz w:val="28"/>
          <w:szCs w:val="28"/>
        </w:rPr>
      </w:pPr>
      <w:r>
        <w:rPr>
          <w:sz w:val="28"/>
          <w:szCs w:val="28"/>
        </w:rPr>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6348C7" w:rsidRDefault="006348C7" w:rsidP="006348C7">
      <w:pPr>
        <w:numPr>
          <w:ilvl w:val="0"/>
          <w:numId w:val="2"/>
        </w:numPr>
        <w:spacing w:line="360" w:lineRule="auto"/>
        <w:ind w:firstLine="709"/>
        <w:jc w:val="both"/>
        <w:rPr>
          <w:sz w:val="28"/>
          <w:szCs w:val="28"/>
        </w:rPr>
      </w:pPr>
      <w:r>
        <w:rPr>
          <w:sz w:val="28"/>
          <w:szCs w:val="28"/>
        </w:rPr>
        <w:lastRenderedPageBreak/>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6348C7" w:rsidRDefault="006348C7" w:rsidP="006348C7">
      <w:pPr>
        <w:numPr>
          <w:ilvl w:val="0"/>
          <w:numId w:val="2"/>
        </w:numPr>
        <w:spacing w:line="360" w:lineRule="auto"/>
        <w:ind w:firstLine="709"/>
        <w:jc w:val="both"/>
        <w:rPr>
          <w:color w:val="000000"/>
          <w:sz w:val="28"/>
          <w:szCs w:val="28"/>
        </w:rPr>
      </w:pPr>
      <w:r>
        <w:rPr>
          <w:sz w:val="28"/>
          <w:szCs w:val="28"/>
        </w:rPr>
        <w:t xml:space="preserve">Городилова Г.Г. Обучение речи и технические средства / Галина Городилова. – М.: Рус. яз., 1979. </w:t>
      </w:r>
      <w:r>
        <w:rPr>
          <w:color w:val="000000"/>
          <w:sz w:val="28"/>
          <w:szCs w:val="28"/>
        </w:rPr>
        <w:t xml:space="preserve">– 235 с. </w:t>
      </w:r>
    </w:p>
    <w:p w:rsidR="006348C7" w:rsidRDefault="006348C7" w:rsidP="006348C7">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6348C7" w:rsidRDefault="006348C7" w:rsidP="006348C7">
      <w:pPr>
        <w:numPr>
          <w:ilvl w:val="0"/>
          <w:numId w:val="2"/>
        </w:numPr>
        <w:spacing w:line="360" w:lineRule="auto"/>
        <w:ind w:firstLine="709"/>
        <w:jc w:val="both"/>
        <w:rPr>
          <w:color w:val="000000"/>
          <w:sz w:val="28"/>
          <w:szCs w:val="28"/>
        </w:rPr>
      </w:pPr>
      <w:r>
        <w:rPr>
          <w:color w:val="000000"/>
          <w:sz w:val="28"/>
          <w:szCs w:val="28"/>
        </w:rPr>
        <w:t>Коптілов В.В. Теорія і практика перекладу / В</w:t>
      </w:r>
      <w:r>
        <w:rPr>
          <w:color w:val="000000"/>
          <w:sz w:val="28"/>
          <w:szCs w:val="28"/>
          <w:lang w:val="uk-UA"/>
        </w:rPr>
        <w:t>італій Коптілов</w:t>
      </w:r>
      <w:r>
        <w:rPr>
          <w:color w:val="000000"/>
          <w:sz w:val="28"/>
          <w:szCs w:val="28"/>
        </w:rPr>
        <w:t>. – Київ:</w:t>
      </w:r>
      <w:r>
        <w:rPr>
          <w:color w:val="000000"/>
          <w:sz w:val="28"/>
          <w:szCs w:val="28"/>
          <w:lang w:val="uk-UA"/>
        </w:rPr>
        <w:t xml:space="preserve"> </w:t>
      </w:r>
      <w:r>
        <w:rPr>
          <w:color w:val="000000"/>
          <w:sz w:val="28"/>
          <w:szCs w:val="28"/>
        </w:rPr>
        <w:t>Юніверс, 2003. – 280 с.</w:t>
      </w:r>
    </w:p>
    <w:p w:rsidR="006348C7" w:rsidRDefault="006348C7" w:rsidP="006348C7">
      <w:pPr>
        <w:numPr>
          <w:ilvl w:val="0"/>
          <w:numId w:val="2"/>
        </w:numPr>
        <w:spacing w:line="360" w:lineRule="auto"/>
        <w:ind w:firstLine="709"/>
        <w:jc w:val="both"/>
        <w:rPr>
          <w:color w:val="000000"/>
          <w:sz w:val="28"/>
          <w:szCs w:val="28"/>
        </w:rPr>
      </w:pPr>
      <w:r>
        <w:rPr>
          <w:color w:val="000000"/>
          <w:sz w:val="28"/>
          <w:szCs w:val="28"/>
        </w:rPr>
        <w:t xml:space="preserve">Федоров А.В. Основы общей теории перевода.: лингвист. очерк. – 3-е изд. </w:t>
      </w:r>
      <w:r>
        <w:rPr>
          <w:color w:val="000000"/>
          <w:sz w:val="28"/>
          <w:szCs w:val="28"/>
          <w:lang w:val="uk-UA"/>
        </w:rPr>
        <w:t xml:space="preserve">/ Афанасий Федоров. </w:t>
      </w:r>
      <w:r>
        <w:rPr>
          <w:color w:val="000000"/>
          <w:sz w:val="28"/>
          <w:szCs w:val="28"/>
        </w:rPr>
        <w:t>– М.: Высш. шк., 1968. – 396 с.</w:t>
      </w:r>
    </w:p>
    <w:p w:rsidR="006348C7" w:rsidRDefault="006348C7" w:rsidP="006348C7">
      <w:pPr>
        <w:numPr>
          <w:ilvl w:val="0"/>
          <w:numId w:val="2"/>
        </w:numPr>
        <w:spacing w:line="360" w:lineRule="auto"/>
        <w:ind w:firstLine="709"/>
        <w:jc w:val="both"/>
        <w:rPr>
          <w:color w:val="000000"/>
          <w:sz w:val="28"/>
          <w:szCs w:val="28"/>
        </w:rPr>
      </w:pPr>
      <w:r>
        <w:rPr>
          <w:color w:val="000000"/>
          <w:sz w:val="28"/>
          <w:szCs w:val="28"/>
        </w:rPr>
        <w:t>Кальниченко О.А. Трактат Фрідріха Шлейєрмахера "Про два способи перекладу" ("Uber  dieverschiedenen methoden des ubersetzens")</w:t>
      </w:r>
      <w:r>
        <w:rPr>
          <w:color w:val="000000"/>
          <w:sz w:val="28"/>
          <w:szCs w:val="28"/>
          <w:lang w:val="uk-UA"/>
        </w:rPr>
        <w:t xml:space="preserve"> </w:t>
      </w:r>
      <w:r>
        <w:rPr>
          <w:color w:val="000000"/>
          <w:sz w:val="28"/>
          <w:szCs w:val="28"/>
        </w:rPr>
        <w:t>та його значення для сучасного перекладознавства</w:t>
      </w:r>
      <w:r>
        <w:rPr>
          <w:color w:val="000000"/>
          <w:sz w:val="28"/>
          <w:szCs w:val="28"/>
          <w:lang w:val="uk-UA"/>
        </w:rPr>
        <w:t xml:space="preserve"> / Олександр Кальниченко, </w:t>
      </w:r>
      <w:r>
        <w:rPr>
          <w:color w:val="000000"/>
          <w:sz w:val="28"/>
          <w:szCs w:val="28"/>
        </w:rPr>
        <w:t>Володимир Подміногін. // Вчені записки ХГУ</w:t>
      </w:r>
      <w:r>
        <w:rPr>
          <w:color w:val="000000"/>
          <w:sz w:val="28"/>
          <w:szCs w:val="28"/>
          <w:lang w:val="uk-UA"/>
        </w:rPr>
        <w:t xml:space="preserve"> </w:t>
      </w:r>
      <w:r>
        <w:rPr>
          <w:color w:val="000000"/>
          <w:sz w:val="28"/>
          <w:szCs w:val="28"/>
        </w:rPr>
        <w:t>"НУА". – Харків: Око, 2002. – Т. 8. – С. 503 – 533.</w:t>
      </w:r>
    </w:p>
    <w:p w:rsidR="006348C7" w:rsidRDefault="006348C7" w:rsidP="006348C7">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vs адаптація </w:t>
      </w:r>
      <w:r>
        <w:rPr>
          <w:color w:val="000000"/>
          <w:sz w:val="28"/>
          <w:szCs w:val="28"/>
          <w:lang w:val="uk-UA"/>
        </w:rPr>
        <w:t xml:space="preserve">/ Олександр Кальниченко, </w:t>
      </w:r>
      <w:r>
        <w:rPr>
          <w:color w:val="000000"/>
          <w:sz w:val="28"/>
          <w:szCs w:val="28"/>
        </w:rPr>
        <w:t>Володимир Подміногін. // Вiсник Харківського нац. ун-ту iм. В.Н. Каразiна. –2004. – № 636. – С. 201-205.</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color w:val="000000"/>
          <w:sz w:val="28"/>
          <w:szCs w:val="28"/>
        </w:rPr>
        <w:t>Кальниченко О.А. Джон Драйден: Передмова до "Послань" Овідія</w:t>
      </w:r>
      <w:r>
        <w:rPr>
          <w:color w:val="000000"/>
          <w:sz w:val="28"/>
          <w:szCs w:val="28"/>
          <w:lang w:val="uk-UA"/>
        </w:rPr>
        <w:t xml:space="preserve"> / Олександр Кальниченко.</w:t>
      </w:r>
      <w:r>
        <w:rPr>
          <w:color w:val="000000"/>
          <w:sz w:val="28"/>
          <w:szCs w:val="28"/>
        </w:rPr>
        <w:t xml:space="preserve"> // Вчені записки ХГУ "НУА". – Харків: Око, 2002. –Т. </w:t>
      </w:r>
      <w:r>
        <w:rPr>
          <w:color w:val="000000"/>
          <w:sz w:val="28"/>
          <w:szCs w:val="28"/>
          <w:lang w:val="en-US"/>
        </w:rPr>
        <w:t>X</w:t>
      </w:r>
      <w:r>
        <w:rPr>
          <w:color w:val="000000"/>
          <w:sz w:val="28"/>
          <w:szCs w:val="28"/>
        </w:rPr>
        <w:t>. – С. 380 – 400.</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Азимов</w:t>
      </w:r>
      <w:r>
        <w:rPr>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Г.А. Краснова, М.И. Беляев, А.В. Солодов. – М.: МГИУ, 2001. – 224с.</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Мамадиев К.Р. Инновационные технологи в обучении / К.Р. Мамадиев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lastRenderedPageBreak/>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 Политехника, 2003. – С. 112-115.</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Кревский И.Г. К проблеме лабораторных практикумов в дистанционном обучении / Игорь Кревский. // Информационные технологии и системы в образовании, науке, бизнесе: Сборник материалов </w:t>
      </w:r>
      <w:r>
        <w:rPr>
          <w:sz w:val="28"/>
          <w:szCs w:val="28"/>
          <w:lang w:val="en-US"/>
        </w:rPr>
        <w:t>II</w:t>
      </w:r>
      <w:r>
        <w:rPr>
          <w:sz w:val="28"/>
          <w:szCs w:val="28"/>
        </w:rPr>
        <w:t xml:space="preserve"> Междунар. науч.-технич. конф. – Пенза: ПДЗ, 2000. – С.24 </w:t>
      </w:r>
      <w:r>
        <w:rPr>
          <w:color w:val="000000"/>
          <w:sz w:val="28"/>
          <w:szCs w:val="28"/>
        </w:rPr>
        <w:t xml:space="preserve">– </w:t>
      </w:r>
      <w:r>
        <w:rPr>
          <w:sz w:val="28"/>
          <w:szCs w:val="28"/>
        </w:rPr>
        <w:t>26.</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rPr>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(теория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6348C7" w:rsidRDefault="006348C7" w:rsidP="006348C7">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6348C7" w:rsidRDefault="006348C7" w:rsidP="006348C7">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Д</w:t>
      </w:r>
      <w:r>
        <w:rPr>
          <w:sz w:val="28"/>
          <w:szCs w:val="28"/>
        </w:rPr>
        <w:t xml:space="preserve">ридзе Т.М. Текстовая деятельность в структуре социальной коммуникации / Т.М. Дридзе – М.: Изд-во «Наука», 1984. – 268 с. </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Елухина Н.В. Обучение аудированию в русле коммуникативно-ориентированной методики / Н.В. Елухина // Иностранные языки в школе. – 1989. – № 2. – С. 28 – 34.</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rPr>
        <w:lastRenderedPageBreak/>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 1989. – 219 с.</w:t>
      </w:r>
    </w:p>
    <w:p w:rsidR="006348C7" w:rsidRDefault="006348C7" w:rsidP="006348C7">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Ляховицкий М.В., Миролюбов А.А. и др.]. – М.: Высш. школа, 1982. – 373 с. </w:t>
      </w:r>
    </w:p>
    <w:p w:rsidR="006348C7" w:rsidRDefault="006348C7" w:rsidP="006348C7">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Мехедь</w:t>
      </w:r>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условиях подготовительного факультета (вузы технического профиля): дис. …канд. пед. наук:</w:t>
      </w:r>
      <w:r>
        <w:rPr>
          <w:color w:val="000000"/>
          <w:sz w:val="28"/>
          <w:szCs w:val="28"/>
          <w:lang w:val="uk-UA"/>
        </w:rPr>
        <w:t xml:space="preserve"> 13.00.02 / Татьяна Акимовна Мехедькина. – М., 1988. – 180 с.</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color w:val="000000"/>
          <w:sz w:val="28"/>
          <w:szCs w:val="28"/>
          <w:lang w:val="uk-UA"/>
        </w:rPr>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О.В. Старостенко. – Херсон, 2008. – 20 с.</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lang w:val="uk-UA"/>
        </w:rPr>
        <w:t xml:space="preserve">Хейлик В.Д. </w:t>
      </w:r>
      <w:r>
        <w:rPr>
          <w:sz w:val="28"/>
          <w:szCs w:val="28"/>
        </w:rPr>
        <w:t>Стратегии</w:t>
      </w:r>
      <w:r>
        <w:rPr>
          <w:sz w:val="28"/>
          <w:szCs w:val="28"/>
          <w:lang w:val="uk-UA"/>
        </w:rPr>
        <w:t xml:space="preserve"> </w:t>
      </w:r>
      <w:r>
        <w:rPr>
          <w:sz w:val="28"/>
          <w:szCs w:val="28"/>
        </w:rPr>
        <w:t xml:space="preserve">формирования устноречевых умений </w:t>
      </w:r>
      <w:r>
        <w:rPr>
          <w:sz w:val="28"/>
          <w:szCs w:val="28"/>
          <w:lang w:val="uk-UA"/>
        </w:rPr>
        <w:t xml:space="preserve">у </w:t>
      </w:r>
      <w:r>
        <w:rPr>
          <w:sz w:val="28"/>
          <w:szCs w:val="28"/>
        </w:rPr>
        <w:t>иностранных студентов-нефилологов</w:t>
      </w:r>
      <w:r>
        <w:rPr>
          <w:sz w:val="28"/>
          <w:szCs w:val="28"/>
          <w:lang w:val="uk-UA"/>
        </w:rPr>
        <w:t xml:space="preserve"> / В.Д. Хейлик, Е.И. Гейченко // Русский язык, литература, культура в школе и вузе. – 2010. – №2 (32). – С. 49 – 54 </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lang w:val="uk-UA"/>
        </w:rPr>
        <w:t>Барт Р. Фрагменты речи влюблённого. Пер. с франц. В. Лапицкого / Ролан Барт. – М.: Азбука-Классика, 2003. – 432 с.</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Эпштейн М. Постмодерн в русской литературе: Учеб. пособие для вузов / М</w:t>
      </w:r>
      <w:r>
        <w:rPr>
          <w:sz w:val="28"/>
          <w:szCs w:val="28"/>
          <w:lang w:val="uk-UA"/>
        </w:rPr>
        <w:t xml:space="preserve">ихаил </w:t>
      </w:r>
      <w:r>
        <w:rPr>
          <w:sz w:val="28"/>
          <w:szCs w:val="28"/>
        </w:rPr>
        <w:t xml:space="preserve">Эпштейн. – М.: Высш. шк., 2005. – 459 с. </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shd w:val="clear" w:color="auto" w:fill="FFFFFF"/>
        </w:rPr>
        <w:t>Андрухович Ю. Лексикон </w:t>
      </w:r>
      <w:r>
        <w:rPr>
          <w:bCs/>
          <w:sz w:val="28"/>
          <w:szCs w:val="28"/>
          <w:shd w:val="clear" w:color="auto" w:fill="FFFFFF"/>
        </w:rPr>
        <w:t>інтимних</w:t>
      </w:r>
      <w:r>
        <w:rPr>
          <w:sz w:val="28"/>
          <w:szCs w:val="28"/>
          <w:shd w:val="clear" w:color="auto" w:fill="FFFFFF"/>
        </w:rPr>
        <w:t> </w:t>
      </w:r>
      <w:r>
        <w:rPr>
          <w:bCs/>
          <w:sz w:val="28"/>
          <w:szCs w:val="28"/>
          <w:shd w:val="clear" w:color="auto" w:fill="FFFFFF"/>
        </w:rPr>
        <w:t>міст</w:t>
      </w:r>
      <w:r>
        <w:rPr>
          <w:sz w:val="28"/>
          <w:szCs w:val="28"/>
          <w:shd w:val="clear" w:color="auto" w:fill="FFFFFF"/>
        </w:rPr>
        <w:t>. Дов</w:t>
      </w:r>
      <w:r>
        <w:rPr>
          <w:sz w:val="28"/>
          <w:szCs w:val="28"/>
          <w:shd w:val="clear" w:color="auto" w:fill="FFFFFF"/>
          <w:lang w:val="uk-UA"/>
        </w:rPr>
        <w:t>ільний посібник з геопоетики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Meridian Czernowitz</w:t>
      </w:r>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 xml:space="preserve">Артёмова (Грязнова) В.В. Компьютерные технологии на начальном этапе обучения РКИ / Виктория Грязнова. // Актуальные проблемы методики 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6348C7" w:rsidRDefault="006348C7" w:rsidP="006348C7">
      <w:pPr>
        <w:numPr>
          <w:ilvl w:val="0"/>
          <w:numId w:val="3"/>
        </w:numPr>
        <w:autoSpaceDE w:val="0"/>
        <w:autoSpaceDN w:val="0"/>
        <w:adjustRightInd w:val="0"/>
        <w:spacing w:line="360" w:lineRule="auto"/>
        <w:ind w:firstLine="709"/>
        <w:jc w:val="both"/>
        <w:rPr>
          <w:color w:val="000000"/>
          <w:sz w:val="28"/>
          <w:szCs w:val="28"/>
          <w:shd w:val="clear" w:color="auto" w:fill="FFFFFF"/>
        </w:rPr>
      </w:pPr>
      <w:r>
        <w:rPr>
          <w:sz w:val="28"/>
          <w:szCs w:val="28"/>
        </w:rPr>
        <w:lastRenderedPageBreak/>
        <w:t xml:space="preserve">Бершадский А.М. Дистанционное образование: региональный аспект / Анатолий Бершадский, Игорь Кревский.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color w:val="000000"/>
          <w:sz w:val="28"/>
          <w:szCs w:val="28"/>
        </w:rPr>
        <w:t>Бондарева</w:t>
      </w:r>
      <w:r>
        <w:rPr>
          <w:color w:val="000000"/>
          <w:sz w:val="28"/>
          <w:szCs w:val="28"/>
          <w:shd w:val="clear" w:color="auto" w:fill="FFFFFF"/>
        </w:rPr>
        <w:t> О.В. К вопросу методического обеспечения учебного процесса при </w:t>
      </w:r>
      <w:r>
        <w:rPr>
          <w:color w:val="000000"/>
          <w:sz w:val="28"/>
          <w:szCs w:val="28"/>
        </w:rPr>
        <w:t>дистанционной</w:t>
      </w:r>
      <w:r>
        <w:rPr>
          <w:color w:val="000000"/>
          <w:sz w:val="28"/>
          <w:szCs w:val="28"/>
          <w:shd w:val="clear" w:color="auto" w:fill="FFFFFF"/>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 </w:t>
      </w:r>
      <w:r>
        <w:rPr>
          <w:color w:val="000000"/>
          <w:sz w:val="28"/>
          <w:szCs w:val="28"/>
        </w:rPr>
        <w:t xml:space="preserve">ООО </w:t>
      </w:r>
      <w:r>
        <w:rPr>
          <w:color w:val="000000"/>
          <w:sz w:val="28"/>
          <w:szCs w:val="28"/>
          <w:shd w:val="clear" w:color="auto" w:fill="FFFFFF"/>
        </w:rPr>
        <w:t> «</w:t>
      </w:r>
      <w:r>
        <w:rPr>
          <w:color w:val="000000"/>
          <w:sz w:val="28"/>
          <w:szCs w:val="28"/>
        </w:rPr>
        <w:t>Диона</w:t>
      </w:r>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 xml:space="preserve">Семиченко В.А. Пріоритети професійної підготовки: діяльнісний чи особистісний підхід? / Володимир Семиченко. // Неперервна професійна освіта: проблеми, пошуки, перспективи: Монографія. – Київ: Видавництво «Віпол», 2000. – С. 176 </w:t>
      </w:r>
      <w:r>
        <w:rPr>
          <w:sz w:val="28"/>
          <w:szCs w:val="28"/>
          <w:lang w:val="uk-UA"/>
        </w:rPr>
        <w:t xml:space="preserve">– </w:t>
      </w:r>
      <w:r>
        <w:rPr>
          <w:sz w:val="28"/>
          <w:szCs w:val="28"/>
        </w:rPr>
        <w:t>203.</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Солдатенков М.М. Теоретико-методологічні основи розвитку самостійної пізнавальної діяльності майбутнього вчителя: автореф. дис…. докт. пед. наук: 13.00.04. / Михайло Солдатенков. – К.: КПН, 2007. – 40с.</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Чернилевский Д.В. Дидактические технологии в высшей школе: Учебн. пособие для вузов / Дмитрий Чернилевский. – М.: ЮНИТО – ДАНА, 2002. – 437с.</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rPr>
        <w:t>Степанченко И.И. Поэтический язык Сергея Есенина (анализ лексики) / Иван Степанченко. – Харьков: ХГПИ, 1991. – 189 с.</w:t>
      </w:r>
    </w:p>
    <w:p w:rsidR="006348C7" w:rsidRDefault="006348C7" w:rsidP="006348C7">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ред. И. С. Клецина.</w:t>
      </w:r>
      <w:r>
        <w:rPr>
          <w:iCs/>
          <w:sz w:val="28"/>
          <w:szCs w:val="28"/>
          <w:lang w:val="uk-UA"/>
        </w:rPr>
        <w:t xml:space="preserve"> –                        </w:t>
      </w:r>
      <w:r>
        <w:rPr>
          <w:iCs/>
          <w:sz w:val="28"/>
          <w:szCs w:val="28"/>
        </w:rPr>
        <w:t>2-е изд</w:t>
      </w:r>
      <w:r>
        <w:rPr>
          <w:sz w:val="28"/>
          <w:szCs w:val="28"/>
        </w:rPr>
        <w:t xml:space="preserve">., перераб. и доп. </w:t>
      </w:r>
      <w:r>
        <w:rPr>
          <w:iCs/>
          <w:sz w:val="28"/>
          <w:szCs w:val="28"/>
        </w:rPr>
        <w:t>– СПб.</w:t>
      </w:r>
      <w:r>
        <w:rPr>
          <w:sz w:val="28"/>
          <w:szCs w:val="28"/>
        </w:rPr>
        <w:t>:</w:t>
      </w:r>
      <w:r>
        <w:rPr>
          <w:sz w:val="28"/>
          <w:szCs w:val="28"/>
          <w:lang w:val="uk-UA"/>
        </w:rPr>
        <w:t xml:space="preserve"> </w:t>
      </w:r>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r>
        <w:rPr>
          <w:iCs/>
          <w:sz w:val="28"/>
          <w:szCs w:val="28"/>
          <w:lang w:val="uk-UA"/>
        </w:rPr>
        <w:t xml:space="preserve">Кон И. С. Совместное и раздельное обучение: научно-теоретические основы </w:t>
      </w:r>
      <w:r>
        <w:rPr>
          <w:sz w:val="28"/>
          <w:szCs w:val="28"/>
        </w:rPr>
        <w:t>/</w:t>
      </w:r>
      <w:r>
        <w:rPr>
          <w:sz w:val="28"/>
          <w:szCs w:val="28"/>
          <w:lang w:val="uk-UA"/>
        </w:rPr>
        <w:t xml:space="preserve"> </w:t>
      </w:r>
      <w:r>
        <w:rPr>
          <w:sz w:val="28"/>
          <w:szCs w:val="28"/>
        </w:rPr>
        <w:t xml:space="preserve">Иван Кон. – </w:t>
      </w:r>
      <w:r>
        <w:rPr>
          <w:sz w:val="28"/>
          <w:szCs w:val="28"/>
          <w:lang w:val="uk-UA"/>
        </w:rPr>
        <w:t>Режим доступа:</w:t>
      </w:r>
      <w:r>
        <w:rPr>
          <w:iCs/>
          <w:sz w:val="28"/>
          <w:szCs w:val="28"/>
          <w:lang w:val="uk-UA"/>
        </w:rPr>
        <w:t xml:space="preserve"> </w:t>
      </w:r>
      <w:hyperlink w:history="1">
        <w:r>
          <w:rPr>
            <w:rStyle w:val="a3"/>
            <w:sz w:val="28"/>
            <w:szCs w:val="28"/>
          </w:rPr>
          <w:t>http://sexology. narod.ru/info157.html</w:t>
        </w:r>
      </w:hyperlink>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lastRenderedPageBreak/>
        <w:t>Кон И. С. Введение в сексологию /</w:t>
      </w:r>
      <w:r>
        <w:rPr>
          <w:sz w:val="28"/>
          <w:szCs w:val="28"/>
          <w:lang w:val="uk-UA"/>
        </w:rPr>
        <w:t xml:space="preserve"> </w:t>
      </w:r>
      <w:r>
        <w:rPr>
          <w:sz w:val="28"/>
          <w:szCs w:val="28"/>
        </w:rPr>
        <w:t xml:space="preserve">Иван Кон. – М.: Медицина, 1989. – 33 с. </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Изумрудов Ю.А. Лирика Сергея Клычкова: автореф. дис. …канд. филол. наук: 10.01.02 / Юрий Александрович Изумрудов. – Нижний Новгород: АСПЕКТ, 1993. – 18 с.</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Клычкова / Надежда Неженец // Русская речь. – М.: Наука, 1987. –  С. 119 </w:t>
      </w:r>
      <w:r>
        <w:rPr>
          <w:sz w:val="28"/>
          <w:szCs w:val="28"/>
          <w:lang w:val="uk-UA"/>
        </w:rPr>
        <w:t xml:space="preserve">– </w:t>
      </w:r>
      <w:r>
        <w:rPr>
          <w:sz w:val="28"/>
          <w:szCs w:val="28"/>
        </w:rPr>
        <w:t>125.</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 xml:space="preserve">Луцький Ю. Комуністична партійність – основний принцип радянського мистецтва / Ю. Луцький. – К.: Мистецтво, 1964. – 95 с. </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rPr>
        <w:t>Перерва А. Живіть, жита. Вірші</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Голоси криниць</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Серед білого дня: Поезія</w:t>
      </w:r>
      <w:r>
        <w:rPr>
          <w:sz w:val="28"/>
          <w:szCs w:val="28"/>
          <w:lang w:val="uk-UA"/>
        </w:rPr>
        <w:t xml:space="preserve"> / </w:t>
      </w:r>
      <w:r>
        <w:rPr>
          <w:sz w:val="28"/>
          <w:szCs w:val="28"/>
        </w:rPr>
        <w:t>Анато</w:t>
      </w:r>
      <w:r>
        <w:rPr>
          <w:sz w:val="28"/>
          <w:szCs w:val="28"/>
          <w:lang w:val="uk-UA"/>
        </w:rPr>
        <w:t>лій Перерва</w:t>
      </w:r>
      <w:r>
        <w:rPr>
          <w:sz w:val="28"/>
          <w:szCs w:val="28"/>
        </w:rPr>
        <w:t xml:space="preserve">. – К.: Рад. </w:t>
      </w:r>
      <w:r>
        <w:rPr>
          <w:sz w:val="28"/>
          <w:szCs w:val="28"/>
          <w:lang w:val="uk-UA"/>
        </w:rPr>
        <w:t>п</w:t>
      </w:r>
      <w:r>
        <w:rPr>
          <w:sz w:val="28"/>
          <w:szCs w:val="28"/>
        </w:rPr>
        <w:t>исьменник,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Бердяев Н. Эрос и личность: Философия пола и любви / Николай Бердяев. – СПб.: Издательский Дом «Азбука-классика», 2007. – 224 с.  </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Бернадська Н. Український роман: теоретичні проблеми і жанрова еволюція: Монографія / Ніна Бернадська.– К., 2004. – 368 с.</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Бетко І. Архетипальна постать блазня в українській постмодерній прозі / Ірина Бетко  // Слово і час. – 2009. – № 3. – С. 54 – 63.</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Етапи розвитку. – </w:t>
      </w:r>
      <w:r>
        <w:rPr>
          <w:sz w:val="28"/>
          <w:szCs w:val="28"/>
        </w:rPr>
        <w:t>Katowice</w:t>
      </w:r>
      <w:r>
        <w:rPr>
          <w:sz w:val="28"/>
          <w:szCs w:val="28"/>
          <w:lang w:val="uk-UA"/>
        </w:rPr>
        <w:t xml:space="preserve">: </w:t>
      </w:r>
      <w:r>
        <w:rPr>
          <w:sz w:val="28"/>
          <w:szCs w:val="28"/>
        </w:rPr>
        <w:t>Wydawnictwo</w:t>
      </w:r>
      <w:r>
        <w:rPr>
          <w:sz w:val="28"/>
          <w:szCs w:val="28"/>
          <w:lang w:val="uk-UA"/>
        </w:rPr>
        <w:t xml:space="preserve"> </w:t>
      </w:r>
      <w:r>
        <w:rPr>
          <w:sz w:val="28"/>
          <w:szCs w:val="28"/>
        </w:rPr>
        <w:t>Uniwersytetu</w:t>
      </w:r>
      <w:r>
        <w:rPr>
          <w:sz w:val="28"/>
          <w:szCs w:val="28"/>
          <w:lang w:val="uk-UA"/>
        </w:rPr>
        <w:t xml:space="preserve"> Ś</w:t>
      </w:r>
      <w:r>
        <w:rPr>
          <w:sz w:val="28"/>
          <w:szCs w:val="28"/>
        </w:rPr>
        <w:t>l</w:t>
      </w:r>
      <w:r>
        <w:rPr>
          <w:sz w:val="28"/>
          <w:szCs w:val="28"/>
          <w:lang w:val="uk-UA"/>
        </w:rPr>
        <w:t>ą</w:t>
      </w:r>
      <w:r>
        <w:rPr>
          <w:sz w:val="28"/>
          <w:szCs w:val="28"/>
        </w:rPr>
        <w:t>skiego</w:t>
      </w:r>
      <w:r>
        <w:rPr>
          <w:sz w:val="28"/>
          <w:szCs w:val="28"/>
          <w:lang w:val="uk-UA"/>
        </w:rPr>
        <w:t xml:space="preserve">, 2003. – С. 174 – 209.  </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lastRenderedPageBreak/>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rPr>
        <w:t>Бланшо М. Взгляд Орфея</w:t>
      </w:r>
      <w:r>
        <w:rPr>
          <w:sz w:val="28"/>
          <w:szCs w:val="28"/>
          <w:lang w:val="uk-UA"/>
        </w:rPr>
        <w:t xml:space="preserve"> / Морис Бланшо </w:t>
      </w:r>
      <w:r>
        <w:rPr>
          <w:sz w:val="28"/>
          <w:szCs w:val="28"/>
        </w:rPr>
        <w:t>// Ожидание забвения. – СПб.: Амфора,</w:t>
      </w:r>
      <w:r>
        <w:rPr>
          <w:sz w:val="28"/>
          <w:szCs w:val="28"/>
          <w:lang w:val="uk-UA"/>
        </w:rPr>
        <w:t xml:space="preserve"> </w:t>
      </w:r>
      <w:r>
        <w:rPr>
          <w:sz w:val="28"/>
          <w:szCs w:val="28"/>
        </w:rPr>
        <w:t>2000. – С. 60 – 72.</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hyperlink r:id="rId7" w:history="1">
        <w:r>
          <w:rPr>
            <w:rStyle w:val="a3"/>
            <w:color w:val="auto"/>
            <w:sz w:val="28"/>
            <w:szCs w:val="28"/>
            <w:u w:val="none"/>
          </w:rPr>
          <w:t>Блюм Х. Каббала и литературная критика</w:t>
        </w:r>
      </w:hyperlink>
      <w:r>
        <w:rPr>
          <w:sz w:val="28"/>
          <w:szCs w:val="28"/>
          <w:lang w:val="uk-UA"/>
        </w:rPr>
        <w:t xml:space="preserve"> / Херольд Блюм</w:t>
      </w:r>
      <w:r>
        <w:rPr>
          <w:sz w:val="28"/>
          <w:szCs w:val="28"/>
        </w:rPr>
        <w:t xml:space="preserve"> // Таргум. Еврейское наследие в контексте мировой культуры. </w:t>
      </w:r>
      <w:r>
        <w:rPr>
          <w:sz w:val="28"/>
          <w:szCs w:val="28"/>
          <w:lang w:val="uk-UA"/>
        </w:rPr>
        <w:t xml:space="preserve">– </w:t>
      </w:r>
      <w:r>
        <w:rPr>
          <w:sz w:val="28"/>
          <w:szCs w:val="28"/>
        </w:rPr>
        <w:t>Вып.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Бовуар С. де. Мандарин</w:t>
      </w:r>
      <w:r>
        <w:rPr>
          <w:sz w:val="28"/>
          <w:szCs w:val="28"/>
        </w:rPr>
        <w:t>ы</w:t>
      </w:r>
      <w:r>
        <w:rPr>
          <w:sz w:val="28"/>
          <w:szCs w:val="28"/>
          <w:lang w:val="uk-UA"/>
        </w:rPr>
        <w:t xml:space="preserve"> / Симона де Бовуар</w:t>
      </w:r>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Бодрийар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Бодрийар. </w:t>
      </w:r>
      <w:r>
        <w:rPr>
          <w:sz w:val="28"/>
          <w:szCs w:val="28"/>
        </w:rPr>
        <w:t>– СПб: «Владимир Даль», 2000. – 95 с.</w:t>
      </w:r>
    </w:p>
    <w:p w:rsidR="006348C7" w:rsidRDefault="006348C7" w:rsidP="006348C7">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Бодрийяр Ж. Символический обмен и смерть / Жан Бодрийар. – </w:t>
      </w:r>
      <w:r>
        <w:rPr>
          <w:sz w:val="28"/>
          <w:szCs w:val="28"/>
        </w:rPr>
        <w:t>М.: "Добросвет"</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rFonts w:eastAsia="TimesNewRomanPSMT"/>
          <w:sz w:val="28"/>
          <w:szCs w:val="28"/>
        </w:rPr>
        <w:t xml:space="preserve">Деррида Ж. Голос и феномен </w:t>
      </w:r>
      <w:r>
        <w:rPr>
          <w:rFonts w:eastAsia="HiddenHorzOCR"/>
          <w:sz w:val="28"/>
          <w:szCs w:val="28"/>
        </w:rPr>
        <w:t>и другие работы по теории знака Гуссерля</w:t>
      </w:r>
      <w:r>
        <w:rPr>
          <w:rFonts w:eastAsia="HiddenHorzOCR"/>
          <w:sz w:val="28"/>
          <w:szCs w:val="28"/>
          <w:lang w:val="uk-UA"/>
        </w:rPr>
        <w:t xml:space="preserve"> / Жак Деррида</w:t>
      </w:r>
      <w:r>
        <w:rPr>
          <w:rFonts w:eastAsia="TimesNewRomanPSMT"/>
          <w:sz w:val="28"/>
          <w:szCs w:val="28"/>
        </w:rPr>
        <w:t>. –</w:t>
      </w:r>
      <w:r>
        <w:rPr>
          <w:rFonts w:eastAsia="HiddenHorzOCR"/>
          <w:sz w:val="28"/>
          <w:szCs w:val="28"/>
          <w:lang w:val="uk-UA"/>
        </w:rPr>
        <w:t xml:space="preserve"> </w:t>
      </w:r>
      <w:r>
        <w:rPr>
          <w:rFonts w:eastAsia="HiddenHorzOCR"/>
          <w:sz w:val="28"/>
          <w:szCs w:val="28"/>
        </w:rPr>
        <w:t>СПб.: Алете</w:t>
      </w:r>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rPr>
        <w:t>Деррида Ж. Эссе об имени</w:t>
      </w:r>
      <w:r>
        <w:rPr>
          <w:sz w:val="28"/>
          <w:szCs w:val="28"/>
          <w:lang w:val="uk-UA"/>
        </w:rPr>
        <w:t xml:space="preserve">. </w:t>
      </w:r>
      <w:r>
        <w:rPr>
          <w:sz w:val="28"/>
          <w:szCs w:val="28"/>
        </w:rPr>
        <w:t>Пер. с фр. Н.А. Шматко</w:t>
      </w:r>
      <w:r>
        <w:rPr>
          <w:sz w:val="28"/>
          <w:szCs w:val="28"/>
          <w:lang w:val="uk-UA"/>
        </w:rPr>
        <w:t xml:space="preserve"> / </w:t>
      </w:r>
      <w:r>
        <w:rPr>
          <w:rFonts w:eastAsia="HiddenHorzOCR"/>
          <w:sz w:val="28"/>
          <w:szCs w:val="28"/>
          <w:lang w:val="uk-UA"/>
        </w:rPr>
        <w:t>Жак Деррида</w:t>
      </w:r>
      <w:r>
        <w:rPr>
          <w:sz w:val="28"/>
          <w:szCs w:val="28"/>
        </w:rPr>
        <w:t>. – М.: Институт экспериментальной социологии; СПб: Алетейя, 1998. – 192 с.</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lang w:val="uk-UA"/>
        </w:rPr>
        <w:t>Дроздовський Д. Ловець «Таємниці» Юрія Андруховича, або Сім днів, які змінили світ / Дмитро Дроздовський // Кур’єр Кривбасу. – 2007. – № 212-213. – Лип.-Серп. – С. 56 – 61.</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sz w:val="28"/>
          <w:szCs w:val="28"/>
        </w:rPr>
        <w:t>Евтушенко С. Эрос и агапе: гносеологический аспект</w:t>
      </w:r>
      <w:r>
        <w:rPr>
          <w:sz w:val="28"/>
          <w:szCs w:val="28"/>
          <w:lang w:val="uk-UA"/>
        </w:rPr>
        <w:t xml:space="preserve"> / Сергей Евтушенко </w:t>
      </w:r>
      <w:r>
        <w:rPr>
          <w:sz w:val="28"/>
          <w:szCs w:val="28"/>
        </w:rPr>
        <w:t>// Вопросы философии. – 1999. – №</w:t>
      </w:r>
      <w:r>
        <w:rPr>
          <w:sz w:val="28"/>
          <w:szCs w:val="28"/>
          <w:lang w:val="uk-UA"/>
        </w:rPr>
        <w:t xml:space="preserve"> </w:t>
      </w:r>
      <w:r>
        <w:rPr>
          <w:sz w:val="28"/>
          <w:szCs w:val="28"/>
        </w:rPr>
        <w:t>10. – С. 99 – 109.</w:t>
      </w:r>
    </w:p>
    <w:p w:rsidR="006348C7" w:rsidRDefault="006348C7" w:rsidP="006348C7">
      <w:pPr>
        <w:numPr>
          <w:ilvl w:val="0"/>
          <w:numId w:val="3"/>
        </w:numPr>
        <w:autoSpaceDE w:val="0"/>
        <w:autoSpaceDN w:val="0"/>
        <w:adjustRightInd w:val="0"/>
        <w:spacing w:line="360" w:lineRule="auto"/>
        <w:ind w:firstLine="709"/>
        <w:jc w:val="both"/>
        <w:rPr>
          <w:sz w:val="28"/>
          <w:szCs w:val="28"/>
          <w:lang w:val="uk-UA"/>
        </w:rPr>
      </w:pPr>
      <w:r>
        <w:rPr>
          <w:bCs/>
          <w:sz w:val="28"/>
          <w:szCs w:val="28"/>
          <w:shd w:val="clear" w:color="auto" w:fill="FFFFFF"/>
        </w:rPr>
        <w:t>Евсюков</w:t>
      </w:r>
      <w:r>
        <w:rPr>
          <w:sz w:val="28"/>
          <w:szCs w:val="28"/>
          <w:shd w:val="clear" w:color="auto" w:fill="FFFFFF"/>
        </w:rPr>
        <w:t> В</w:t>
      </w:r>
      <w:r>
        <w:rPr>
          <w:sz w:val="28"/>
          <w:szCs w:val="28"/>
          <w:shd w:val="clear" w:color="auto" w:fill="FFFFFF"/>
          <w:lang w:val="uk-UA"/>
        </w:rPr>
        <w:t>.</w:t>
      </w:r>
      <w:r>
        <w:rPr>
          <w:sz w:val="28"/>
          <w:szCs w:val="28"/>
          <w:shd w:val="clear" w:color="auto" w:fill="FFFFFF"/>
        </w:rPr>
        <w:t> </w:t>
      </w:r>
      <w:r>
        <w:rPr>
          <w:bCs/>
          <w:sz w:val="28"/>
          <w:szCs w:val="28"/>
          <w:shd w:val="clear" w:color="auto" w:fill="FFFFFF"/>
        </w:rPr>
        <w:t>Мифы</w:t>
      </w:r>
      <w:r>
        <w:rPr>
          <w:sz w:val="28"/>
          <w:szCs w:val="28"/>
          <w:shd w:val="clear" w:color="auto" w:fill="FFFFFF"/>
        </w:rPr>
        <w:t> </w:t>
      </w:r>
      <w:r>
        <w:rPr>
          <w:bCs/>
          <w:sz w:val="28"/>
          <w:szCs w:val="28"/>
          <w:shd w:val="clear" w:color="auto" w:fill="FFFFFF"/>
        </w:rPr>
        <w:t>о</w:t>
      </w:r>
      <w:r>
        <w:rPr>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Валерий Владимирович Евсюков</w:t>
      </w:r>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6348C7" w:rsidRDefault="006348C7" w:rsidP="006348C7">
      <w:pPr>
        <w:jc w:val="both"/>
        <w:rPr>
          <w:rFonts w:eastAsiaTheme="minorHAnsi"/>
          <w:sz w:val="22"/>
          <w:szCs w:val="22"/>
          <w:lang w:eastAsia="en-US"/>
        </w:rPr>
      </w:pPr>
    </w:p>
    <w:p w:rsidR="006348C7" w:rsidRDefault="006348C7">
      <w:bookmarkStart w:id="1" w:name="_GoBack"/>
      <w:bookmarkEnd w:id="1"/>
    </w:p>
    <w:sectPr w:rsidR="00634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F8"/>
    <w:rsid w:val="0017783B"/>
    <w:rsid w:val="006348C7"/>
    <w:rsid w:val="00635821"/>
    <w:rsid w:val="00A0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348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34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2737</Words>
  <Characters>15607</Characters>
  <Application>Microsoft Office Word</Application>
  <DocSecurity>0</DocSecurity>
  <Lines>130</Lines>
  <Paragraphs>36</Paragraphs>
  <ScaleCrop>false</ScaleCrop>
  <Company/>
  <LinksUpToDate>false</LinksUpToDate>
  <CharactersWithSpaces>18308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2015-02-17T21:26:00Z</dcterms:created>
  <dcterms:modified xsi:type="dcterms:W3CDTF">2015-02-17T21:52:00Z</dcterms:modified>
</cp:coreProperties>
</file>