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842AF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Лабораторна робота № 75</w:t>
      </w:r>
    </w:p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842AF4">
        <w:rPr>
          <w:rFonts w:ascii="Times New Roman" w:eastAsia="Calibri" w:hAnsi="Times New Roman" w:cs="Times New Roman"/>
          <w:b/>
          <w:sz w:val="36"/>
          <w:szCs w:val="36"/>
          <w:lang w:val="uk-UA"/>
        </w:rPr>
        <w:t>ДІАГНОСТУВАННЯ ЯКОСТІ МАСЕЛ</w:t>
      </w:r>
    </w:p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842AF4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НА СПЕКТРАЛЬНІЙ УСТАНОВЦІ МФС-7</w:t>
      </w:r>
    </w:p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36"/>
          <w:szCs w:val="36"/>
          <w:lang w:val="uk-UA"/>
        </w:rPr>
      </w:pPr>
      <w:r w:rsidRPr="00842AF4">
        <w:rPr>
          <w:rFonts w:ascii="Times New Roman" w:eastAsia="Times New Roman" w:hAnsi="Times New Roman" w:cs="Times New Roman"/>
          <w:b/>
          <w:iCs/>
          <w:sz w:val="36"/>
          <w:szCs w:val="36"/>
          <w:lang w:val="uk-UA"/>
        </w:rPr>
        <w:t>Мета роботи</w:t>
      </w:r>
    </w:p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Набути практичні навички по визначенню кількості присадок у маслах за допомогою фотоелектричної установки МФС-7 з можливістю прийняття рішення щодо доцільності застосування обраного масла для конкретного агрегату.</w:t>
      </w:r>
    </w:p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842AF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Устаткування та матеріали</w:t>
      </w:r>
    </w:p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842AF4" w:rsidRPr="00842AF4" w:rsidRDefault="00842AF4" w:rsidP="00842AF4">
      <w:pPr>
        <w:widowControl w:val="0"/>
        <w:numPr>
          <w:ilvl w:val="0"/>
          <w:numId w:val="1"/>
        </w:numPr>
        <w:spacing w:after="0" w:line="240" w:lineRule="auto"/>
        <w:ind w:left="568" w:hanging="284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Проби масла М-10Г</w:t>
      </w:r>
      <w:r w:rsidRPr="00842AF4">
        <w:rPr>
          <w:rFonts w:ascii="Times New Roman" w:eastAsia="Times New Roman" w:hAnsi="Times New Roman" w:cs="Times New Roman"/>
          <w:sz w:val="32"/>
          <w:szCs w:val="32"/>
          <w:vertAlign w:val="subscript"/>
          <w:lang w:val="uk-UA"/>
        </w:rPr>
        <w:t>2</w:t>
      </w: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к, МС-20.</w:t>
      </w:r>
    </w:p>
    <w:p w:rsidR="00842AF4" w:rsidRPr="00842AF4" w:rsidRDefault="00842AF4" w:rsidP="00842AF4">
      <w:pPr>
        <w:widowControl w:val="0"/>
        <w:numPr>
          <w:ilvl w:val="0"/>
          <w:numId w:val="1"/>
        </w:numPr>
        <w:spacing w:after="0" w:line="240" w:lineRule="auto"/>
        <w:ind w:left="568" w:hanging="284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Фотоелектрична установка МФС-7.</w:t>
      </w:r>
    </w:p>
    <w:p w:rsidR="00842AF4" w:rsidRPr="00842AF4" w:rsidRDefault="00842AF4" w:rsidP="00842AF4">
      <w:pPr>
        <w:widowControl w:val="0"/>
        <w:numPr>
          <w:ilvl w:val="0"/>
          <w:numId w:val="1"/>
        </w:numPr>
        <w:spacing w:after="0" w:line="240" w:lineRule="auto"/>
        <w:ind w:left="568" w:hanging="284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Електромеханічна мішалка.</w:t>
      </w:r>
    </w:p>
    <w:p w:rsidR="00842AF4" w:rsidRPr="00842AF4" w:rsidRDefault="00842AF4" w:rsidP="00842AF4">
      <w:pPr>
        <w:widowControl w:val="0"/>
        <w:numPr>
          <w:ilvl w:val="0"/>
          <w:numId w:val="1"/>
        </w:numPr>
        <w:spacing w:after="0" w:line="240" w:lineRule="auto"/>
        <w:ind w:left="568" w:hanging="284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Пристосування для відбору проб масла.</w:t>
      </w:r>
    </w:p>
    <w:p w:rsidR="00842AF4" w:rsidRPr="00842AF4" w:rsidRDefault="00842AF4" w:rsidP="00842AF4">
      <w:pPr>
        <w:widowControl w:val="0"/>
        <w:numPr>
          <w:ilvl w:val="0"/>
          <w:numId w:val="1"/>
        </w:numPr>
        <w:spacing w:after="0" w:line="240" w:lineRule="auto"/>
        <w:ind w:left="568" w:hanging="284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Ємність 250 </w:t>
      </w:r>
      <w:proofErr w:type="spellStart"/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мт</w:t>
      </w:r>
      <w:proofErr w:type="spellEnd"/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</w:p>
    <w:p w:rsidR="00842AF4" w:rsidRPr="00842AF4" w:rsidRDefault="00842AF4" w:rsidP="00842AF4">
      <w:pPr>
        <w:widowControl w:val="0"/>
        <w:numPr>
          <w:ilvl w:val="0"/>
          <w:numId w:val="1"/>
        </w:numPr>
        <w:spacing w:after="0" w:line="240" w:lineRule="auto"/>
        <w:ind w:left="568" w:hanging="284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Бензин Б-70.</w:t>
      </w:r>
    </w:p>
    <w:p w:rsidR="00842AF4" w:rsidRPr="00842AF4" w:rsidRDefault="00842AF4" w:rsidP="00842AF4">
      <w:pPr>
        <w:widowControl w:val="0"/>
        <w:numPr>
          <w:ilvl w:val="0"/>
          <w:numId w:val="1"/>
        </w:numPr>
        <w:spacing w:after="0" w:line="240" w:lineRule="auto"/>
        <w:ind w:left="568" w:hanging="284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Вугільні електроди марки С-2.</w:t>
      </w:r>
    </w:p>
    <w:p w:rsidR="00842AF4" w:rsidRPr="00842AF4" w:rsidRDefault="00842AF4" w:rsidP="00842AF4">
      <w:pPr>
        <w:widowControl w:val="0"/>
        <w:numPr>
          <w:ilvl w:val="0"/>
          <w:numId w:val="1"/>
        </w:numPr>
        <w:spacing w:after="0" w:line="240" w:lineRule="auto"/>
        <w:ind w:left="568" w:hanging="284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Пристосування для калібрування електродів.</w:t>
      </w:r>
    </w:p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842AF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Зміст і порядок виконання роботи</w:t>
      </w:r>
    </w:p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Існуючі масла залежно від ступеня форсування двигуна розрізняються за характером дії та змістом присадок або їхніх композицій, що досягають 0,5...20 % і більше.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При роботі двигуна присадки </w:t>
      </w:r>
      <w:proofErr w:type="spellStart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масел</w:t>
      </w:r>
      <w:proofErr w:type="spellEnd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спрацьовуються і їх концентрація зменшується. Швидкість зниження початкової концентрації присадок у маслі при роботі двигуна залежить від їхньої кількості, ефективності та ступеня форсування двигуна, його технічного стану, якості палива та умов експлуатації двигуна.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Про зниження змісту присадки в маслі свідчить зміна його лужного числа. Однак цей метод придатний лише для </w:t>
      </w:r>
      <w:proofErr w:type="spellStart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масел</w:t>
      </w:r>
      <w:proofErr w:type="spellEnd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із присадками, до складу яких входять з’єднання, що зумовлюють лужне середовище розчину.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Більш точно про концентрації присадок у маслі можна судити </w:t>
      </w: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за змістом їхніх основних компонентів (барію, кальцію, цинку, фосфору, магнію, молібдену й ін.). У табл.75.1 наведені присадки, що найбільш часто зустрічаються в маслах.</w:t>
      </w:r>
    </w:p>
    <w:p w:rsidR="00842AF4" w:rsidRPr="00842AF4" w:rsidRDefault="00842AF4" w:rsidP="00842AF4">
      <w:pPr>
        <w:widowControl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842AF4" w:rsidRPr="00842AF4" w:rsidRDefault="00842AF4" w:rsidP="00842AF4">
      <w:pPr>
        <w:widowControl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42AF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Таблиця 75.1</w:t>
      </w:r>
    </w:p>
    <w:p w:rsidR="00842AF4" w:rsidRPr="00842AF4" w:rsidRDefault="00842AF4" w:rsidP="00842AF4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42AF4" w:rsidRPr="00842AF4" w:rsidRDefault="00842AF4" w:rsidP="00842AF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2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Присадки до </w:t>
      </w:r>
      <w:proofErr w:type="spellStart"/>
      <w:r w:rsidRPr="00842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масел</w:t>
      </w:r>
      <w:proofErr w:type="spellEnd"/>
    </w:p>
    <w:p w:rsidR="00842AF4" w:rsidRPr="00842AF4" w:rsidRDefault="00842AF4" w:rsidP="00842AF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"/>
        <w:gridCol w:w="24"/>
        <w:gridCol w:w="1905"/>
        <w:gridCol w:w="26"/>
        <w:gridCol w:w="1954"/>
        <w:gridCol w:w="71"/>
        <w:gridCol w:w="4609"/>
        <w:gridCol w:w="44"/>
      </w:tblGrid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656"/>
          <w:jc w:val="center"/>
        </w:trPr>
        <w:tc>
          <w:tcPr>
            <w:tcW w:w="1931" w:type="dxa"/>
            <w:gridSpan w:val="2"/>
            <w:vAlign w:val="center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Марка</w:t>
            </w:r>
          </w:p>
        </w:tc>
        <w:tc>
          <w:tcPr>
            <w:tcW w:w="2025" w:type="dxa"/>
            <w:gridSpan w:val="2"/>
            <w:vAlign w:val="center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Концентрація в маслі, %</w:t>
            </w:r>
          </w:p>
        </w:tc>
        <w:tc>
          <w:tcPr>
            <w:tcW w:w="4653" w:type="dxa"/>
            <w:gridSpan w:val="2"/>
            <w:vAlign w:val="center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Інші властивості й особливості </w:t>
            </w:r>
          </w:p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Застосування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1"/>
          <w:jc w:val="center"/>
        </w:trPr>
        <w:tc>
          <w:tcPr>
            <w:tcW w:w="1931" w:type="dxa"/>
            <w:gridSpan w:val="2"/>
            <w:vAlign w:val="center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5" w:type="dxa"/>
            <w:gridSpan w:val="2"/>
            <w:vAlign w:val="center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53" w:type="dxa"/>
            <w:gridSpan w:val="2"/>
            <w:vAlign w:val="center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cantSplit/>
          <w:trHeight w:val="366"/>
          <w:jc w:val="center"/>
        </w:trPr>
        <w:tc>
          <w:tcPr>
            <w:tcW w:w="8609" w:type="dxa"/>
            <w:gridSpan w:val="6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Антиокисні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ДФ-11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1,0–2,5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Протизношувальні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протикорозійні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ДФБ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1,0–2,2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Протизношувальні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протикорозійні, має також антифрикційну дію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ДФ-1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ВНИИНП-354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2,0–2,2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Протизношувальні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протикорозійні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ИХП-21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2,4–2,6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Протизношувальні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протикорозійні, має також високу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термоокислювальну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стабільність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МНИИП-22к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4,0–4,6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Протикорозійні, миючі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КАСП-13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Протикорозійні,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протизношувальні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Борін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ДБК (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ионол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Агидол-2 </w:t>
            </w:r>
          </w:p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(НГ-2246)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Для стабілізації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масел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змащень,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каучуків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інших продуктів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cantSplit/>
          <w:trHeight w:val="413"/>
          <w:jc w:val="center"/>
        </w:trPr>
        <w:tc>
          <w:tcPr>
            <w:tcW w:w="8609" w:type="dxa"/>
            <w:gridSpan w:val="6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Миючі-</w:t>
            </w:r>
            <w:proofErr w:type="spellStart"/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диспергуючі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ПМС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2,2–18,0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Нейтралізуючі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С-150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1,5–5,0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 ж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С-300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20,0–25,0</w:t>
            </w:r>
          </w:p>
        </w:tc>
        <w:tc>
          <w:tcPr>
            <w:tcW w:w="4653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 ж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2"/>
          <w:wBefore w:w="75" w:type="dxa"/>
          <w:trHeight w:val="413"/>
          <w:jc w:val="center"/>
        </w:trPr>
        <w:tc>
          <w:tcPr>
            <w:tcW w:w="193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ПМС’я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(барієва)</w:t>
            </w:r>
          </w:p>
        </w:tc>
        <w:tc>
          <w:tcPr>
            <w:tcW w:w="2025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4653" w:type="dxa"/>
            <w:gridSpan w:val="2"/>
            <w:vAlign w:val="center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413"/>
          <w:jc w:val="center"/>
        </w:trPr>
        <w:tc>
          <w:tcPr>
            <w:tcW w:w="1980" w:type="dxa"/>
            <w:gridSpan w:val="3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ПМС’я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(кальцієва)</w:t>
            </w:r>
          </w:p>
        </w:tc>
        <w:tc>
          <w:tcPr>
            <w:tcW w:w="1980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1,5–5,0</w:t>
            </w:r>
          </w:p>
        </w:tc>
        <w:tc>
          <w:tcPr>
            <w:tcW w:w="4680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" w:type="dxa"/>
          <w:wAfter w:w="44" w:type="dxa"/>
          <w:trHeight w:val="413"/>
          <w:jc w:val="center"/>
        </w:trPr>
        <w:tc>
          <w:tcPr>
            <w:tcW w:w="1929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СБ-3 СБ-3у</w:t>
            </w:r>
          </w:p>
        </w:tc>
        <w:tc>
          <w:tcPr>
            <w:tcW w:w="1980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2,0–3,0</w:t>
            </w:r>
          </w:p>
        </w:tc>
        <w:tc>
          <w:tcPr>
            <w:tcW w:w="4680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</w:tbl>
    <w:p w:rsidR="00842AF4" w:rsidRPr="00842AF4" w:rsidRDefault="00842AF4" w:rsidP="00842AF4">
      <w:pPr>
        <w:widowControl w:val="0"/>
        <w:tabs>
          <w:tab w:val="left" w:pos="586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42AF4">
        <w:rPr>
          <w:rFonts w:ascii="Times New Roman" w:eastAsia="Calibri" w:hAnsi="Times New Roman" w:cs="Times New Roman"/>
          <w:lang w:val="uk-UA"/>
        </w:rPr>
        <w:br w:type="page"/>
      </w:r>
      <w:r w:rsidRPr="00842AF4">
        <w:rPr>
          <w:rFonts w:ascii="Times New Roman" w:eastAsia="Calibri" w:hAnsi="Times New Roman" w:cs="Times New Roman"/>
          <w:lang w:val="en-US"/>
        </w:rPr>
        <w:lastRenderedPageBreak/>
        <w:t xml:space="preserve">      </w:t>
      </w:r>
      <w:r w:rsidRPr="00842AF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Продовження табл. 75.1</w:t>
      </w:r>
    </w:p>
    <w:tbl>
      <w:tblPr>
        <w:tblpPr w:leftFromText="180" w:rightFromText="180" w:vertAnchor="text" w:horzAnchor="margin" w:tblpXSpec="center" w:tblpY="2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682"/>
        <w:gridCol w:w="222"/>
        <w:gridCol w:w="1980"/>
        <w:gridCol w:w="180"/>
        <w:gridCol w:w="4856"/>
        <w:gridCol w:w="85"/>
      </w:tblGrid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НСК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8,0–13,0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ЦИАТИМ-339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3,0–6,0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Протикорозійні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ВНИИНП-360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3,5–6,0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Протикорозійні,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протизношувальні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cantSplit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ВНИИНП-370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5,0–15,0</w:t>
            </w:r>
          </w:p>
        </w:tc>
        <w:tc>
          <w:tcPr>
            <w:tcW w:w="5036" w:type="dxa"/>
            <w:gridSpan w:val="2"/>
            <w:vMerge w:val="restart"/>
            <w:vAlign w:val="center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Протикорозійні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cantSplit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ВНИИНП-371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5036" w:type="dxa"/>
            <w:gridSpan w:val="2"/>
            <w:vMerge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БфКу</w:t>
            </w:r>
            <w:proofErr w:type="spellEnd"/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6,0–10,0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 ж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АСК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0.75pt;height:12.9pt" o:ole="" fillcolor="window">
                  <v:imagedata r:id="rId5" o:title=""/>
                </v:shape>
                <o:OLEObject Type="Embed" ProgID="Equation.3" ShapeID="_x0000_i1047" DrawAspect="Content" ObjectID="_1551465574" r:id="rId6"/>
              </w:object>
            </w: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Антиокисні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стійкі до впливу прісної й морської води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МАСК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3,8–14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Нейтралізуючі,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антиокисні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стійкі до впливу прісної й морської води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АСБ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Стійкі до впливу прісної й морської води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Детерсол-50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object w:dxaOrig="220" w:dyaOrig="260">
                <v:shape id="_x0000_i1048" type="#_x0000_t75" style="width:10.75pt;height:12.9pt" o:ole="" fillcolor="window">
                  <v:imagedata r:id="rId5" o:title=""/>
                </v:shape>
                <o:OLEObject Type="Embed" ProgID="Equation.3" ShapeID="_x0000_i1048" DrawAspect="Content" ObjectID="_1551465575" r:id="rId7"/>
              </w:object>
            </w: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Антиокисні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стійкі до впливу прісної й морської води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Детерсол-140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3,8–14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Нейтралізуючі,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антиокисні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стійкі до впливу прісної й морської води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cantSplit/>
          <w:trHeight w:val="416"/>
        </w:trPr>
        <w:tc>
          <w:tcPr>
            <w:tcW w:w="8920" w:type="dxa"/>
            <w:gridSpan w:val="5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Диспергуючі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С-5А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Днепрол</w:t>
            </w:r>
            <w:proofErr w:type="spellEnd"/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2–3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cantSplit/>
          <w:trHeight w:val="416"/>
        </w:trPr>
        <w:tc>
          <w:tcPr>
            <w:tcW w:w="8920" w:type="dxa"/>
            <w:gridSpan w:val="5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Що змазують (</w:t>
            </w:r>
            <w:proofErr w:type="spellStart"/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противозадирні</w:t>
            </w:r>
            <w:proofErr w:type="spellEnd"/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протизношувальні</w:t>
            </w:r>
            <w:proofErr w:type="spellEnd"/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, антифрикційні)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ЕФО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5–6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Протизношувальні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АДТФ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Має антифрикційними й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протизношувальні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властивості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ЛЗ-309/2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Поліпшує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противоизносные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властивості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cantSplit/>
          <w:trHeight w:val="842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ВИР-1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4,0–6,5</w:t>
            </w:r>
            <w:r w:rsidRPr="00842AF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*</w:t>
            </w:r>
          </w:p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2,0–3,5</w:t>
            </w:r>
            <w:r w:rsidRPr="00842AF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Має високі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антиокисні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й антифрикційні властивості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cantSplit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ОТП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Протизадирні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85" w:type="dxa"/>
          <w:cantSplit/>
          <w:trHeight w:val="416"/>
        </w:trPr>
        <w:tc>
          <w:tcPr>
            <w:tcW w:w="1682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АБЕС</w:t>
            </w:r>
          </w:p>
        </w:tc>
        <w:tc>
          <w:tcPr>
            <w:tcW w:w="2202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6-9</w:t>
            </w:r>
          </w:p>
        </w:tc>
        <w:tc>
          <w:tcPr>
            <w:tcW w:w="5036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Для поліпшення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протизадирних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властивостей трансмісійних і індустріальних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масел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938" w:type="dxa"/>
            <w:gridSpan w:val="3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КИНХ-2</w:t>
            </w:r>
          </w:p>
        </w:tc>
        <w:tc>
          <w:tcPr>
            <w:tcW w:w="2160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4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 ж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938" w:type="dxa"/>
            <w:gridSpan w:val="3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ИХП-14А</w:t>
            </w:r>
          </w:p>
        </w:tc>
        <w:tc>
          <w:tcPr>
            <w:tcW w:w="2160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4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 ж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938" w:type="dxa"/>
            <w:gridSpan w:val="3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БМА-5</w:t>
            </w:r>
          </w:p>
        </w:tc>
        <w:tc>
          <w:tcPr>
            <w:tcW w:w="2160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4941" w:type="dxa"/>
            <w:gridSpan w:val="2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</w:tbl>
    <w:p w:rsidR="00842AF4" w:rsidRPr="00842AF4" w:rsidRDefault="00842AF4" w:rsidP="00842AF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42AF4">
        <w:rPr>
          <w:rFonts w:ascii="Times New Roman" w:eastAsia="Calibri" w:hAnsi="Times New Roman" w:cs="Times New Roman"/>
          <w:lang w:val="en-US"/>
        </w:rPr>
        <w:t xml:space="preserve">       </w:t>
      </w:r>
      <w:r w:rsidRPr="00842AF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Продовження табл. 75.1</w:t>
      </w:r>
    </w:p>
    <w:p w:rsidR="00842AF4" w:rsidRPr="00842AF4" w:rsidRDefault="00842AF4" w:rsidP="00842AF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035"/>
        <w:gridCol w:w="5276"/>
      </w:tblGrid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ЛЗ-23К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0,5 (для моторних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масел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), </w:t>
            </w:r>
          </w:p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5-6 (для трансмісійних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масел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Протизадирні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КИНХ-2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 ж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ИХП-14А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 ж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БМА-5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9525" w:type="dxa"/>
            <w:gridSpan w:val="3"/>
          </w:tcPr>
          <w:p w:rsidR="00842AF4" w:rsidRPr="00842AF4" w:rsidRDefault="00842AF4" w:rsidP="00842AF4">
            <w:pPr>
              <w:widowControl w:val="0"/>
              <w:tabs>
                <w:tab w:val="center" w:pos="4662"/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ab/>
              <w:t>Депресорні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АзНИИ</w:t>
            </w:r>
            <w:proofErr w:type="spellEnd"/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0,5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АзНИИ-ЦИАТИМ-1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АФК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ПМА «Д»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Володіє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загущающими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властивостями – підвищує в’язкість і індекс в’язкості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9525" w:type="dxa"/>
            <w:gridSpan w:val="3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Вязкостные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КП-5, КП-10, КП-20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2–3, 20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Для одержання загущених, моторних, індустріальних, редукторних і гідравлічних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масел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ПМА «В-1»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моторних, трансмісійних, і гідравлічних маслах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ПМА «В-2»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моторних маслах і робочих рідинах для гідравлічних систем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ВИНИПОЛ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Загущающая</w:t>
            </w:r>
            <w:proofErr w:type="spellEnd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присадка для гідравлічних, компресійних і інших </w:t>
            </w:r>
            <w:proofErr w:type="spellStart"/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масел</w:t>
            </w:r>
            <w:proofErr w:type="spellEnd"/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9525" w:type="dxa"/>
            <w:gridSpan w:val="3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Антипінні</w:t>
            </w:r>
          </w:p>
        </w:tc>
      </w:tr>
      <w:tr w:rsidR="00842AF4" w:rsidRPr="00842AF4" w:rsidTr="0000054D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2214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ПМС-200А</w:t>
            </w:r>
          </w:p>
        </w:tc>
        <w:tc>
          <w:tcPr>
            <w:tcW w:w="2035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2A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0,001–0,005</w:t>
            </w:r>
          </w:p>
        </w:tc>
        <w:tc>
          <w:tcPr>
            <w:tcW w:w="5276" w:type="dxa"/>
          </w:tcPr>
          <w:p w:rsidR="00842AF4" w:rsidRPr="00842AF4" w:rsidRDefault="00842AF4" w:rsidP="00842A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2AF4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*</w:t>
      </w:r>
      <w:r w:rsidRPr="00842AF4">
        <w:rPr>
          <w:rFonts w:ascii="Times New Roman" w:eastAsia="Calibri" w:hAnsi="Times New Roman" w:cs="Times New Roman"/>
          <w:sz w:val="28"/>
          <w:szCs w:val="28"/>
          <w:lang w:val="uk-UA"/>
        </w:rPr>
        <w:t>Трансмісійні масла.</w:t>
      </w:r>
    </w:p>
    <w:p w:rsidR="00842AF4" w:rsidRPr="00842AF4" w:rsidRDefault="00842AF4" w:rsidP="00842A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2AF4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**</w:t>
      </w:r>
      <w:r w:rsidRPr="00842A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Індустріальні масла.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Фотоелектрична установка МФС-7 призначена для збудження емісійних спектрів і реєстрації аналітичних сигналів спектральних ліній різних елементів продуктів зношування та присадок у маслі.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У комплект установки входять </w:t>
      </w:r>
      <w:proofErr w:type="spellStart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поліхроматор</w:t>
      </w:r>
      <w:proofErr w:type="spellEnd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зі спеціальним штативом для аналізу рідких проб, персональна електронно-</w:t>
      </w: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обчислювальна машина; друкувальний пристрій, джерело збудження спектра ДПС-28, електромагнітний стабілізатор напруги С-0,75, стабілізатор СТС-2М.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Проба, що аналізується, встановлюється в штатив (рис.75.1) і подається на обертовий вугільний стрижневий електрод обертовим кварцовим диском, зануреним у ванночку з маслом.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95875" cy="5753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Рис.75.1. Функціональна схема фотоелектричної установки МФС-7:</w:t>
      </w:r>
    </w:p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ДП – друкувальний пристрій; ФЕУ – фотоелектронний </w:t>
      </w:r>
      <w:proofErr w:type="spellStart"/>
      <w:r w:rsidRPr="00842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умножитель</w:t>
      </w:r>
      <w:proofErr w:type="spellEnd"/>
      <w:r w:rsidRPr="00842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– конденсатор; ДПС – джерело порушення спектра; І</w:t>
      </w:r>
      <w:r w:rsidRPr="00842AF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Н</w:t>
      </w:r>
      <w:r w:rsidRPr="00842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інтегратори;</w:t>
      </w:r>
    </w:p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– контролер; ПЕОМ – персональна електронно-обчислювальна машина</w:t>
      </w:r>
    </w:p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Випромінювання розряду спрямовується на вхідну щілину </w:t>
      </w:r>
      <w:proofErr w:type="spellStart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поліхроматора</w:t>
      </w:r>
      <w:proofErr w:type="spellEnd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 увігнутою дифракційною решіткою, що розкладає </w:t>
      </w: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 xml:space="preserve">випромінювання в спектр. Вихідні щілини </w:t>
      </w:r>
      <w:proofErr w:type="spellStart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поліхроматора</w:t>
      </w:r>
      <w:proofErr w:type="spellEnd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виділяють зі спектра необхідні аналітичні лінії.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Виділений потік випромінювання спрямовується до фотокатоду відповідного ФЕУ (фотоелектричний </w:t>
      </w:r>
      <w:proofErr w:type="spellStart"/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умножитель</w:t>
      </w:r>
      <w:proofErr w:type="spellEnd"/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). В анодному ланцюзі ФЕУ протікає струм. Для одержання стабільних результатів спостережень необхідне усереднення </w:t>
      </w:r>
      <w:proofErr w:type="spellStart"/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спектроаналітичних</w:t>
      </w:r>
      <w:proofErr w:type="spellEnd"/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сигналів протягом деякого обраного проміжку часу. В установці це усереднення досягається нагромадженням (інтегруванням) зарядів на конденсаторах з ємністю </w:t>
      </w:r>
      <w:r w:rsidRPr="00842AF4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С</w:t>
      </w:r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ввімкнених в анодному ланцюзі ФЕУ (в блоці інтеграторів). Заряд всіх конденсаторів виробляється одночасно.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По закінченні часу інтегрування </w:t>
      </w:r>
      <w:r w:rsidRPr="00842AF4">
        <w:rPr>
          <w:rFonts w:ascii="Times New Roman" w:eastAsia="Calibri" w:hAnsi="Times New Roman" w:cs="Times New Roman"/>
          <w:i/>
          <w:sz w:val="32"/>
          <w:szCs w:val="32"/>
          <w:lang w:val="uk-UA"/>
        </w:rPr>
        <w:t xml:space="preserve">Т </w:t>
      </w: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програмою керування здійснюється послідовне опитування конденсаторів. Сигнал у </w:t>
      </w:r>
      <w:proofErr w:type="spellStart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двоїчно</w:t>
      </w:r>
      <w:proofErr w:type="spellEnd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-десятковому цифровому коді подається до комп’ютера і за заданою програмою відбувається обробка сигналів та їх передача на екран монітора.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Кінцеві результати являють собою перетворені значення сигналів, пропорційні абсолютному або відносному значенням інтенсивності спектральних ліній або значенням концентрації елементів проби, що аналізуються.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Під час роботи установки команди надходять до дешифратора блоку контролера </w:t>
      </w:r>
      <w:r w:rsidRPr="00842AF4">
        <w:rPr>
          <w:rFonts w:ascii="Times New Roman" w:eastAsia="Calibri" w:hAnsi="Times New Roman" w:cs="Times New Roman"/>
          <w:i/>
          <w:sz w:val="32"/>
          <w:szCs w:val="32"/>
          <w:lang w:val="uk-UA"/>
        </w:rPr>
        <w:t>К.</w:t>
      </w: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Дешифратор перетворює цифрові сигнали, які підсилюються за потужністю і подаються на виконавчі пристрої автоматики ДПС і блоку І</w:t>
      </w:r>
      <w:r w:rsidRPr="00842AF4">
        <w:rPr>
          <w:rFonts w:ascii="Times New Roman" w:eastAsia="Calibri" w:hAnsi="Times New Roman" w:cs="Times New Roman"/>
          <w:sz w:val="32"/>
          <w:szCs w:val="32"/>
          <w:vertAlign w:val="subscript"/>
          <w:lang w:val="uk-UA"/>
        </w:rPr>
        <w:t>Н</w:t>
      </w: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Тривалість часу інтегрування в установці досягається програмним засобом за рахунок використання тактового генератора. При цьому забезпечується можливість отримання сигналів, пропорційних абсолютним значенням </w:t>
      </w:r>
      <w:proofErr w:type="spellStart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інтенсивностей</w:t>
      </w:r>
      <w:proofErr w:type="spellEnd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спектральних ліній.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Загальний час аналізу однієї проби </w:t>
      </w:r>
      <w:proofErr w:type="spellStart"/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масел</w:t>
      </w:r>
      <w:proofErr w:type="spellEnd"/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 16 елементів становить 3...4 хв, охоплюючи:</w:t>
      </w:r>
    </w:p>
    <w:p w:rsidR="00842AF4" w:rsidRPr="00842AF4" w:rsidRDefault="00842AF4" w:rsidP="00842AF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промивання дозуючого диска;</w:t>
      </w:r>
    </w:p>
    <w:p w:rsidR="00842AF4" w:rsidRPr="00842AF4" w:rsidRDefault="00842AF4" w:rsidP="00842AF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виставлення електродів;</w:t>
      </w:r>
    </w:p>
    <w:p w:rsidR="00842AF4" w:rsidRPr="00842AF4" w:rsidRDefault="00842AF4" w:rsidP="00842AF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заправлення ванночки аналізованою пробою масла та розміщення в штатив;</w:t>
      </w:r>
    </w:p>
    <w:p w:rsidR="00842AF4" w:rsidRPr="00842AF4" w:rsidRDefault="00842AF4" w:rsidP="00842AF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попереднього нагрівання електродів, випалу та експозиції;</w:t>
      </w:r>
    </w:p>
    <w:p w:rsidR="00842AF4" w:rsidRPr="00842AF4" w:rsidRDefault="00842AF4" w:rsidP="00842AF4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друкування результатів.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Перед початком проведення аналізу необхідно: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 допомогою електромеханічної мішалки ретельно </w:t>
      </w:r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перемішати пробу протягом 5 хв, злити у ванночку та виставити в штатив.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Ввімкнути живлення установки МФС-7 за допомогою рубильника.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Включити комп’ютер.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Ввімкнути монітор.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Увійти в програму «QUANT1».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Увійти в режим «Завдання аналітичної програми».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Увійти в «PRO».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Увійти в «М10М2».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Увійти в розділ «Аналіз» і відповісти на питання  в діалоговому режимі.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Ввімкнути тумблер ”мережа” на блоці живлення КСМ.</w:t>
      </w:r>
    </w:p>
    <w:p w:rsidR="00842AF4" w:rsidRPr="00842AF4" w:rsidRDefault="00842AF4" w:rsidP="00842AF4">
      <w:pPr>
        <w:widowControl w:val="0"/>
        <w:numPr>
          <w:ilvl w:val="0"/>
          <w:numId w:val="3"/>
        </w:numPr>
        <w:spacing w:after="0" w:line="240" w:lineRule="auto"/>
        <w:ind w:left="681" w:hanging="397"/>
        <w:outlineLvl w:val="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/>
        </w:rPr>
        <w:t>Ввімкнути тумблер ”мережа” на блоці ДЗС-28.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42A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Отримані результати у вольтів перевести у концентрацію г/т (за допомогою тарувальних графіків). Вздовж осі ординат відкласти отриманий результат, знайти точку перетинання на графіку, й опустивши перпендикуляр на вісь абсцис, отримати результат у г/т (рис.75.2).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42AF4" w:rsidRPr="00842AF4" w:rsidRDefault="00842AF4" w:rsidP="00842A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42AF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29125" cy="2971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42AF4" w:rsidRPr="00842AF4" w:rsidRDefault="00842AF4" w:rsidP="00842AF4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2AF4">
        <w:rPr>
          <w:rFonts w:ascii="Times New Roman" w:eastAsia="Times New Roman" w:hAnsi="Times New Roman" w:cs="Times New Roman"/>
          <w:sz w:val="28"/>
          <w:szCs w:val="28"/>
          <w:lang w:val="uk-UA"/>
        </w:rPr>
        <w:t>Рис.75.2. Тарувальний графік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Отримані результати порівняти із можливо-припустимими концентраціями (табл.75.1) і надавши висновок щодо наявності присадок у обраному маслі. 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42AF4" w:rsidRPr="00842AF4" w:rsidRDefault="00842AF4" w:rsidP="00842AF4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42AF4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lastRenderedPageBreak/>
        <w:t>Контрольні запитання</w:t>
      </w:r>
    </w:p>
    <w:p w:rsidR="00842AF4" w:rsidRPr="00842AF4" w:rsidRDefault="00842AF4" w:rsidP="00842A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42AF4" w:rsidRPr="00842AF4" w:rsidRDefault="00842AF4" w:rsidP="00842AF4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Яку роль виконують присадки в сучасних маслах?</w:t>
      </w:r>
    </w:p>
    <w:p w:rsidR="00842AF4" w:rsidRPr="00842AF4" w:rsidRDefault="00842AF4" w:rsidP="00842AF4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Чим відрізняється моторне масло від трансмісійного?</w:t>
      </w:r>
    </w:p>
    <w:p w:rsidR="00842AF4" w:rsidRPr="00842AF4" w:rsidRDefault="00842AF4" w:rsidP="00842AF4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Яку роль виконує присадка, що містить молібден?</w:t>
      </w:r>
    </w:p>
    <w:p w:rsidR="00842AF4" w:rsidRPr="00842AF4" w:rsidRDefault="00842AF4" w:rsidP="00842AF4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Які присадки здатні поліпшити декілька властивостей масла?</w:t>
      </w:r>
    </w:p>
    <w:p w:rsidR="00842AF4" w:rsidRPr="00842AF4" w:rsidRDefault="00842AF4" w:rsidP="00842AF4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якою метою вводиться в масло </w:t>
      </w:r>
      <w:proofErr w:type="spellStart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>антиокисна</w:t>
      </w:r>
      <w:proofErr w:type="spellEnd"/>
      <w:r w:rsidRPr="00842AF4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присадка?</w:t>
      </w:r>
    </w:p>
    <w:p w:rsidR="00D2769C" w:rsidRPr="00842AF4" w:rsidRDefault="00D2769C">
      <w:pPr>
        <w:rPr>
          <w:lang w:val="uk-UA"/>
        </w:rPr>
      </w:pPr>
      <w:bookmarkStart w:id="0" w:name="_GoBack"/>
      <w:bookmarkEnd w:id="0"/>
    </w:p>
    <w:sectPr w:rsidR="00D2769C" w:rsidRPr="0084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E6D"/>
    <w:multiLevelType w:val="hybridMultilevel"/>
    <w:tmpl w:val="43929444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7935A5"/>
    <w:multiLevelType w:val="hybridMultilevel"/>
    <w:tmpl w:val="597EB1C8"/>
    <w:lvl w:ilvl="0" w:tplc="934C3A1E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9C3A3C"/>
    <w:multiLevelType w:val="hybridMultilevel"/>
    <w:tmpl w:val="8528C530"/>
    <w:lvl w:ilvl="0" w:tplc="CCE294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9E58C4"/>
    <w:multiLevelType w:val="hybridMultilevel"/>
    <w:tmpl w:val="288C01B4"/>
    <w:lvl w:ilvl="0" w:tplc="84EE35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F4"/>
    <w:rsid w:val="004002EA"/>
    <w:rsid w:val="00626AF2"/>
    <w:rsid w:val="00842AF4"/>
    <w:rsid w:val="00D2769C"/>
    <w:rsid w:val="00E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99F7-26E4-4EBC-938B-28D99329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2017-03-19T19:53:00Z</dcterms:created>
  <dcterms:modified xsi:type="dcterms:W3CDTF">2017-03-19T19:53:00Z</dcterms:modified>
</cp:coreProperties>
</file>