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5B" w:rsidRPr="007826AC" w:rsidRDefault="005C735B" w:rsidP="005C735B">
      <w:pPr>
        <w:pStyle w:val="a7"/>
        <w:widowControl w:val="0"/>
        <w:rPr>
          <w:b/>
          <w:sz w:val="36"/>
          <w:szCs w:val="36"/>
        </w:rPr>
      </w:pPr>
      <w:r w:rsidRPr="007826AC">
        <w:rPr>
          <w:b/>
          <w:sz w:val="36"/>
          <w:szCs w:val="36"/>
          <w:lang w:val="uk-UA"/>
        </w:rPr>
        <w:t>Лабораторна робота №</w:t>
      </w:r>
      <w:r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</w:rPr>
        <w:t>69</w:t>
      </w:r>
    </w:p>
    <w:p w:rsidR="005C735B" w:rsidRPr="007826AC" w:rsidRDefault="005C735B" w:rsidP="005C735B">
      <w:pPr>
        <w:pStyle w:val="a7"/>
        <w:widowControl w:val="0"/>
        <w:jc w:val="both"/>
        <w:rPr>
          <w:b/>
          <w:sz w:val="32"/>
          <w:szCs w:val="32"/>
          <w:lang w:val="uk-UA"/>
        </w:rPr>
      </w:pPr>
    </w:p>
    <w:p w:rsidR="005C735B" w:rsidRPr="007826AC" w:rsidRDefault="005C735B" w:rsidP="005C735B">
      <w:pPr>
        <w:pStyle w:val="aa"/>
        <w:widowControl w:val="0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ВИЗНАЧЕННЯ ФРАКЦІ</w:t>
      </w:r>
      <w:r>
        <w:rPr>
          <w:sz w:val="36"/>
          <w:szCs w:val="36"/>
          <w:lang w:val="uk-UA"/>
        </w:rPr>
        <w:t>Й</w:t>
      </w:r>
      <w:r>
        <w:rPr>
          <w:sz w:val="36"/>
          <w:szCs w:val="36"/>
          <w:lang w:val="uk-UA"/>
        </w:rPr>
        <w:t xml:space="preserve">НОГО СКЛАДУ </w:t>
      </w:r>
      <w:r w:rsidRPr="007826AC">
        <w:rPr>
          <w:sz w:val="36"/>
          <w:szCs w:val="36"/>
          <w:lang w:val="uk-UA"/>
        </w:rPr>
        <w:t>БЕНЗИНУ</w:t>
      </w:r>
    </w:p>
    <w:p w:rsidR="005C735B" w:rsidRPr="00377518" w:rsidRDefault="005C735B" w:rsidP="005C735B">
      <w:pPr>
        <w:pStyle w:val="6"/>
        <w:widowControl w:val="0"/>
        <w:spacing w:before="0"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5C735B" w:rsidRPr="007826AC" w:rsidRDefault="005C735B" w:rsidP="005C735B">
      <w:pPr>
        <w:pStyle w:val="6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7826AC">
        <w:rPr>
          <w:rFonts w:ascii="Times New Roman" w:hAnsi="Times New Roman"/>
          <w:sz w:val="36"/>
          <w:szCs w:val="36"/>
          <w:lang w:val="uk-UA"/>
        </w:rPr>
        <w:t>Мета роботи</w:t>
      </w:r>
    </w:p>
    <w:p w:rsidR="005C735B" w:rsidRPr="00377518" w:rsidRDefault="005C735B" w:rsidP="005C735B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Ознайомитися з методом визначення фракційного </w:t>
      </w:r>
      <w:r>
        <w:rPr>
          <w:rFonts w:ascii="Times New Roman" w:hAnsi="Times New Roman"/>
          <w:sz w:val="32"/>
          <w:szCs w:val="32"/>
          <w:lang w:val="uk-UA"/>
        </w:rPr>
        <w:t>складу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п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лива зг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дно ГОСТ 2177 (</w:t>
      </w:r>
      <w:r w:rsidRPr="007826AC">
        <w:rPr>
          <w:rFonts w:ascii="Times New Roman" w:hAnsi="Times New Roman"/>
          <w:sz w:val="32"/>
          <w:szCs w:val="32"/>
          <w:lang w:val="en-US"/>
        </w:rPr>
        <w:t>ISO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3405), надавши оцінку впливу окремих фракцій бензину на р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боту двигуна.</w:t>
      </w:r>
    </w:p>
    <w:p w:rsidR="005C735B" w:rsidRPr="00377518" w:rsidRDefault="005C735B" w:rsidP="005C735B">
      <w:pPr>
        <w:pStyle w:val="2"/>
        <w:keepNext w:val="0"/>
        <w:widowControl w:val="0"/>
        <w:ind w:firstLine="0"/>
        <w:jc w:val="both"/>
        <w:rPr>
          <w:sz w:val="16"/>
          <w:szCs w:val="16"/>
          <w:lang w:val="uk-UA"/>
        </w:rPr>
      </w:pPr>
    </w:p>
    <w:p w:rsidR="005C735B" w:rsidRPr="007826AC" w:rsidRDefault="005C735B" w:rsidP="005C735B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7826AC">
        <w:rPr>
          <w:sz w:val="36"/>
          <w:szCs w:val="36"/>
          <w:lang w:val="uk-UA"/>
        </w:rPr>
        <w:t>Устаткування та матеріали</w:t>
      </w:r>
    </w:p>
    <w:p w:rsidR="005C735B" w:rsidRPr="00377518" w:rsidRDefault="005C735B" w:rsidP="005C735B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C735B" w:rsidRPr="007826AC" w:rsidRDefault="005C735B" w:rsidP="005C735B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Прилад для розгону нафт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продуктів.</w:t>
      </w:r>
    </w:p>
    <w:p w:rsidR="005C735B" w:rsidRPr="007826AC" w:rsidRDefault="005C735B" w:rsidP="005C735B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Колбонагрівач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з реостатом.</w:t>
      </w:r>
    </w:p>
    <w:p w:rsidR="005C735B" w:rsidRPr="007826AC" w:rsidRDefault="005C735B" w:rsidP="005C735B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Мірний циліндр ємністю 100 мл.</w:t>
      </w:r>
    </w:p>
    <w:p w:rsidR="005C735B" w:rsidRPr="007826AC" w:rsidRDefault="005C735B" w:rsidP="005C735B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Мірний циліндр ємністю 10 мл.</w:t>
      </w:r>
    </w:p>
    <w:p w:rsidR="005C735B" w:rsidRPr="007826AC" w:rsidRDefault="005C735B" w:rsidP="005C735B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Термометр типу ТИН4-2 зі шкалою виміру від 0 до 360°С.</w:t>
      </w:r>
    </w:p>
    <w:p w:rsidR="005C735B" w:rsidRPr="007826AC" w:rsidRDefault="005C735B" w:rsidP="005C735B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Азбестова прокладка.</w:t>
      </w:r>
    </w:p>
    <w:p w:rsidR="005C735B" w:rsidRPr="007826AC" w:rsidRDefault="005C735B" w:rsidP="005C735B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Колодій.</w:t>
      </w:r>
    </w:p>
    <w:p w:rsidR="005C735B" w:rsidRPr="007826AC" w:rsidRDefault="005C735B" w:rsidP="005C735B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Зразок палива (100 мл).</w:t>
      </w:r>
    </w:p>
    <w:p w:rsidR="005C735B" w:rsidRPr="00377518" w:rsidRDefault="005C735B" w:rsidP="005C735B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C735B" w:rsidRPr="007826AC" w:rsidRDefault="005C735B" w:rsidP="005C73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z w:val="36"/>
          <w:szCs w:val="36"/>
          <w:lang w:val="uk-UA"/>
        </w:rPr>
        <w:t>Загальні відомості</w:t>
      </w:r>
    </w:p>
    <w:p w:rsidR="005C735B" w:rsidRPr="00377518" w:rsidRDefault="005C735B" w:rsidP="005C735B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5C735B" w:rsidRPr="007826AC" w:rsidRDefault="005C735B" w:rsidP="005C735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Перед виконанням лабораторної роботи необхідно ознайом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тися з рекомендованою літературою, звернувши особливу ув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гу на властивості палива, що впливають на безвідмовну роботу дв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гуна. </w:t>
      </w:r>
    </w:p>
    <w:p w:rsidR="005C735B" w:rsidRPr="007826AC" w:rsidRDefault="005C735B" w:rsidP="005C735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Завдання роботи: провести розгін бензину; визначити характ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рні крапки фракційного складу, вид і марку палива, з</w:t>
      </w:r>
      <w:r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ставивши отримані результати з вимогами ДСТУ 4063-2001; дати експлуат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ційну оцінку по фракціях палива; дати висновок щодо його викор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стання у двигуні й про вплив фракційного складу на витрату пал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ва й зношування двигуна.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993300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Бензини являють собою суміш вуглеводнів, яким притаманна різна випаровуваність. Випаровуваність характеризує швидкість і повноту переходу бензину з рідкого в пароподібний стан і визнач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ється його хімічним складом. Бензини як складна суміш різних ву</w:t>
      </w:r>
      <w:r w:rsidRPr="007826AC">
        <w:rPr>
          <w:rFonts w:ascii="Times New Roman" w:hAnsi="Times New Roman"/>
          <w:sz w:val="32"/>
          <w:szCs w:val="32"/>
          <w:lang w:val="uk-UA"/>
        </w:rPr>
        <w:t>г</w:t>
      </w:r>
      <w:r w:rsidRPr="007826AC">
        <w:rPr>
          <w:rFonts w:ascii="Times New Roman" w:hAnsi="Times New Roman"/>
          <w:sz w:val="32"/>
          <w:szCs w:val="32"/>
          <w:lang w:val="uk-UA"/>
        </w:rPr>
        <w:t>леводнів википають не при одній постійній температурі, а в шир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кому діапазоні температур (30...215°С). Випаровуваність бензину оцінюється згідно температурних меж його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википань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і за темпер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турами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википань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його окремих частин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фракцій.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Фракційний склад є головним показником випаровуваності а</w:t>
      </w:r>
      <w:r w:rsidRPr="007826AC">
        <w:rPr>
          <w:rFonts w:ascii="Times New Roman" w:hAnsi="Times New Roman"/>
          <w:sz w:val="32"/>
          <w:szCs w:val="32"/>
          <w:lang w:val="uk-UA"/>
        </w:rPr>
        <w:t>в</w:t>
      </w:r>
      <w:r w:rsidRPr="007826AC">
        <w:rPr>
          <w:rFonts w:ascii="Times New Roman" w:hAnsi="Times New Roman"/>
          <w:sz w:val="32"/>
          <w:szCs w:val="32"/>
          <w:lang w:val="uk-UA"/>
        </w:rPr>
        <w:t>томобільного бензину, найважливішою характеристикою його яко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>ті. Від фракційного складу бензину залежать легкість пуску двиг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на, час його прогріву,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прийомістисть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і інші експлуатаційні показн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ки.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рис.69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.1 наведена крива розгону бензину й зазначені його основні фракції – пускова, робоча й кінцева. </w:t>
      </w:r>
    </w:p>
    <w:p w:rsidR="005C735B" w:rsidRPr="00A717C5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C735B" w:rsidRPr="0085754F" w:rsidRDefault="005C735B" w:rsidP="005C735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54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33065" cy="3253740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5B" w:rsidRPr="0085754F" w:rsidRDefault="005C735B" w:rsidP="005C735B">
      <w:pPr>
        <w:pStyle w:val="a9"/>
        <w:widowControl w:val="0"/>
        <w:ind w:firstLine="0"/>
        <w:jc w:val="center"/>
        <w:rPr>
          <w:szCs w:val="28"/>
          <w:lang w:val="uk-UA"/>
        </w:rPr>
      </w:pPr>
    </w:p>
    <w:p w:rsidR="005C735B" w:rsidRDefault="005C735B" w:rsidP="005C735B">
      <w:pPr>
        <w:pStyle w:val="a9"/>
        <w:widowControl w:val="0"/>
        <w:ind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>Рис.</w:t>
      </w:r>
      <w:r w:rsidRPr="0085754F">
        <w:rPr>
          <w:szCs w:val="28"/>
          <w:lang w:val="uk-UA"/>
        </w:rPr>
        <w:t>69.1. Крива розгону бензину</w:t>
      </w:r>
    </w:p>
    <w:p w:rsidR="005C735B" w:rsidRPr="00A717C5" w:rsidRDefault="005C735B" w:rsidP="005C735B">
      <w:pPr>
        <w:rPr>
          <w:lang w:val="uk-UA" w:eastAsia="ru-RU"/>
        </w:rPr>
      </w:pPr>
    </w:p>
    <w:p w:rsidR="005C735B" w:rsidRPr="0085754F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Пускову фракцію бензину становлять найбільш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низькокиплячі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вуглеводні (перші 10% обсягу дистиляту). У робочу фракцію вх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дять дистиляти від 10 до 90 % обсягу й у кінцеву – від 90% обс</w:t>
      </w:r>
      <w:r w:rsidRPr="007826AC">
        <w:rPr>
          <w:rFonts w:ascii="Times New Roman" w:hAnsi="Times New Roman"/>
          <w:sz w:val="32"/>
          <w:szCs w:val="32"/>
          <w:lang w:val="uk-UA"/>
        </w:rPr>
        <w:t>я</w:t>
      </w:r>
      <w:r w:rsidRPr="007826AC">
        <w:rPr>
          <w:rFonts w:ascii="Times New Roman" w:hAnsi="Times New Roman"/>
          <w:sz w:val="32"/>
          <w:szCs w:val="32"/>
          <w:lang w:val="uk-UA"/>
        </w:rPr>
        <w:t>гу до кінця кипіння бензину. За ДСТУ 4063-2001 фракційний состав бензину нормують 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ятьма характерними температурами: п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чатку перегонки, перегонки 10 %, 50 і 90 % обс</w:t>
      </w:r>
      <w:r w:rsidRPr="007826AC">
        <w:rPr>
          <w:rFonts w:ascii="Times New Roman" w:hAnsi="Times New Roman"/>
          <w:sz w:val="32"/>
          <w:szCs w:val="32"/>
          <w:lang w:val="uk-UA"/>
        </w:rPr>
        <w:t>я</w:t>
      </w:r>
      <w:r w:rsidRPr="007826AC">
        <w:rPr>
          <w:rFonts w:ascii="Times New Roman" w:hAnsi="Times New Roman"/>
          <w:sz w:val="32"/>
          <w:szCs w:val="32"/>
          <w:lang w:val="uk-UA"/>
        </w:rPr>
        <w:t>гу й кінця кипіння.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Фракційний склад бензину повинен бути таким, щоб забезп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чилися гарний пуск двигуна й швидкий розгін автомобіля, низ</w:t>
      </w:r>
      <w:r w:rsidRPr="007826AC">
        <w:rPr>
          <w:rFonts w:ascii="Times New Roman" w:hAnsi="Times New Roman"/>
          <w:sz w:val="32"/>
          <w:szCs w:val="32"/>
          <w:lang w:val="uk-UA"/>
        </w:rPr>
        <w:t>ь</w:t>
      </w:r>
      <w:r w:rsidRPr="007826AC">
        <w:rPr>
          <w:rFonts w:ascii="Times New Roman" w:hAnsi="Times New Roman"/>
          <w:sz w:val="32"/>
          <w:szCs w:val="32"/>
          <w:lang w:val="uk-UA"/>
        </w:rPr>
        <w:t>ка питома витрата палива, рівномірний якісний і кількісний розподіл горючої суміші по циліндрах двигуна, мінімальне зношування п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ршнів і циліндрів.</w:t>
      </w:r>
    </w:p>
    <w:p w:rsidR="005C735B" w:rsidRPr="007826AC" w:rsidRDefault="005C735B" w:rsidP="005C735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Температури </w:t>
      </w:r>
      <w:r w:rsidRPr="007826AC">
        <w:rPr>
          <w:rFonts w:ascii="Times New Roman" w:hAnsi="Times New Roman"/>
          <w:b/>
          <w:i/>
          <w:sz w:val="32"/>
          <w:szCs w:val="32"/>
          <w:lang w:val="uk-UA"/>
        </w:rPr>
        <w:t>початку перегонки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й </w:t>
      </w:r>
      <w:r w:rsidRPr="007826AC">
        <w:rPr>
          <w:rFonts w:ascii="Times New Roman" w:hAnsi="Times New Roman"/>
          <w:b/>
          <w:i/>
          <w:sz w:val="32"/>
          <w:szCs w:val="32"/>
          <w:lang w:val="uk-UA"/>
        </w:rPr>
        <w:t>перегонки 10%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бензину характеризують пускові властивості палива. Якщо в бензині не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стачає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низьк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киплячих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фракцій, то при запуску холодного двигуна частина бензину не встигає випаруватися й потрапляє в </w:t>
      </w: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циліндри в рідкому стані. Горюча с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міш виявляється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перезбідненою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, вона не запалюється від електричної іс</w:t>
      </w:r>
      <w:r w:rsidRPr="007826AC">
        <w:rPr>
          <w:rFonts w:ascii="Times New Roman" w:hAnsi="Times New Roman"/>
          <w:sz w:val="32"/>
          <w:szCs w:val="32"/>
          <w:lang w:val="uk-UA"/>
        </w:rPr>
        <w:t>к</w:t>
      </w:r>
      <w:r w:rsidRPr="007826AC">
        <w:rPr>
          <w:rFonts w:ascii="Times New Roman" w:hAnsi="Times New Roman"/>
          <w:sz w:val="32"/>
          <w:szCs w:val="32"/>
          <w:lang w:val="uk-UA"/>
        </w:rPr>
        <w:t>ри й пуск двигуна стає неможливий. Рідкий бензин у циліндрах змиває змащення, а в картері двигуна розріджує моторне масло. Тому в мить з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пуску й при наступному прогріванні спостерігається тертя деталей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цилі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дропоршневої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групи без достатньої кількості мастильного матеріалу. Мастила виявл</w:t>
      </w:r>
      <w:r w:rsidRPr="007826AC">
        <w:rPr>
          <w:rFonts w:ascii="Times New Roman" w:hAnsi="Times New Roman"/>
          <w:sz w:val="32"/>
          <w:szCs w:val="32"/>
          <w:lang w:val="uk-UA"/>
        </w:rPr>
        <w:t>я</w:t>
      </w:r>
      <w:r w:rsidRPr="007826AC">
        <w:rPr>
          <w:rFonts w:ascii="Times New Roman" w:hAnsi="Times New Roman"/>
          <w:sz w:val="32"/>
          <w:szCs w:val="32"/>
          <w:lang w:val="uk-UA"/>
        </w:rPr>
        <w:t>ється недостатньо для утворення на поверхнях деталей міцної плі</w:t>
      </w:r>
      <w:r w:rsidRPr="007826AC">
        <w:rPr>
          <w:rFonts w:ascii="Times New Roman" w:hAnsi="Times New Roman"/>
          <w:sz w:val="32"/>
          <w:szCs w:val="32"/>
          <w:lang w:val="uk-UA"/>
        </w:rPr>
        <w:t>в</w:t>
      </w:r>
      <w:r w:rsidRPr="007826AC">
        <w:rPr>
          <w:rFonts w:ascii="Times New Roman" w:hAnsi="Times New Roman"/>
          <w:sz w:val="32"/>
          <w:szCs w:val="32"/>
          <w:lang w:val="uk-UA"/>
        </w:rPr>
        <w:t>ки. У цьому випадку відбувається зношення тертьових деталей дв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гуна, так звані пускові, ступінь яких залежить від кількості бе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зину, що не випарувався, тривалості запуску, прогріву двигуна та шви</w:t>
      </w:r>
      <w:r w:rsidRPr="007826AC">
        <w:rPr>
          <w:rFonts w:ascii="Times New Roman" w:hAnsi="Times New Roman"/>
          <w:sz w:val="32"/>
          <w:szCs w:val="32"/>
          <w:lang w:val="uk-UA"/>
        </w:rPr>
        <w:t>д</w:t>
      </w:r>
      <w:r w:rsidRPr="007826AC">
        <w:rPr>
          <w:rFonts w:ascii="Times New Roman" w:hAnsi="Times New Roman"/>
          <w:sz w:val="32"/>
          <w:szCs w:val="32"/>
          <w:lang w:val="uk-UA"/>
        </w:rPr>
        <w:t>кості відновлення масляної плівки на циліндрах. Чим менше час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паровування бензину у впускній системі двигуна, чим трив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ліше є пуск і гірша подача мастила до тертьових деталей, тим значніше п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скові зношення.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Зміст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низькокиплячих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вуглеводнів у сучасних автомобільних бензинах контролюється трьома показниками: температурою поча</w:t>
      </w:r>
      <w:r w:rsidRPr="007826AC">
        <w:rPr>
          <w:rFonts w:ascii="Times New Roman" w:hAnsi="Times New Roman"/>
          <w:sz w:val="32"/>
          <w:szCs w:val="32"/>
          <w:lang w:val="uk-UA"/>
        </w:rPr>
        <w:t>т</w:t>
      </w:r>
      <w:r w:rsidRPr="007826AC">
        <w:rPr>
          <w:rFonts w:ascii="Times New Roman" w:hAnsi="Times New Roman"/>
          <w:sz w:val="32"/>
          <w:szCs w:val="32"/>
          <w:lang w:val="uk-UA"/>
        </w:rPr>
        <w:t>ку перегонки, температурою перегонки 10 % бензину та тиском 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сичених парів.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Відповідно до діючих стандартів температура початку перег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нки а</w:t>
      </w:r>
      <w:r w:rsidRPr="007826AC">
        <w:rPr>
          <w:rFonts w:ascii="Times New Roman" w:hAnsi="Times New Roman"/>
          <w:sz w:val="32"/>
          <w:szCs w:val="32"/>
          <w:lang w:val="uk-UA"/>
        </w:rPr>
        <w:t>в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томобільних бензинів повинна бути не нижче 30 °С, а 10 % бензину повинні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переганятися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при температурі не вище 75 °С. З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вдяки цьому на бе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зинах забезпечується запуск холодного двигуна при температурі навк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лишнього повітря вище -10°С. Поява парових корок за цих умов практично не можл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ва.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Температура перегонки 50% бензину, що характеризує шви</w:t>
      </w:r>
      <w:r w:rsidRPr="007826AC">
        <w:rPr>
          <w:rFonts w:ascii="Times New Roman" w:hAnsi="Times New Roman"/>
          <w:sz w:val="32"/>
          <w:szCs w:val="32"/>
          <w:lang w:val="uk-UA"/>
        </w:rPr>
        <w:t>д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кість прогріву та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прийомістисть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двигуна, нормується для робочої фракції (о</w:t>
      </w:r>
      <w:r w:rsidRPr="007826AC">
        <w:rPr>
          <w:rFonts w:ascii="Times New Roman" w:hAnsi="Times New Roman"/>
          <w:sz w:val="32"/>
          <w:szCs w:val="32"/>
          <w:lang w:val="uk-UA"/>
        </w:rPr>
        <w:t>б</w:t>
      </w:r>
      <w:r w:rsidRPr="007826AC">
        <w:rPr>
          <w:rFonts w:ascii="Times New Roman" w:hAnsi="Times New Roman"/>
          <w:sz w:val="32"/>
          <w:szCs w:val="32"/>
          <w:lang w:val="uk-UA"/>
        </w:rPr>
        <w:t>сяг дистилятів від 10 до 90%).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b/>
          <w:i/>
          <w:sz w:val="32"/>
          <w:szCs w:val="32"/>
          <w:lang w:val="uk-UA"/>
        </w:rPr>
        <w:t>Прогрів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двигуна триває від митті пуску до часу встановлення стійк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го режиму роботи. Наприкінці прогріву в режимі холостого ходу досяг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ється майже повне випаровування бензину у впускному трубопроводі. Чим легшим є фракційний склад і нижча температура перегонки 50 % б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нзину, тим скоріше прогрівається двигун. Бензин з низькою температурою перегонки 50 % швидше випаров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ється у впускному трубопроводі, наповнення циліндра горючою сумішшю поліпшується, потужність двигуна зростає. При низ</w:t>
      </w:r>
      <w:r w:rsidRPr="007826AC">
        <w:rPr>
          <w:rFonts w:ascii="Times New Roman" w:hAnsi="Times New Roman"/>
          <w:sz w:val="32"/>
          <w:szCs w:val="32"/>
          <w:lang w:val="uk-UA"/>
        </w:rPr>
        <w:t>ь</w:t>
      </w:r>
      <w:r w:rsidRPr="007826AC">
        <w:rPr>
          <w:rFonts w:ascii="Times New Roman" w:hAnsi="Times New Roman"/>
          <w:sz w:val="32"/>
          <w:szCs w:val="32"/>
          <w:lang w:val="uk-UA"/>
        </w:rPr>
        <w:t>кій температурі навколишнього повітря необхідно застосовувати бензини з низькою температурою перегонки 50 % палива.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7826AC">
        <w:rPr>
          <w:rFonts w:ascii="Times New Roman" w:hAnsi="Times New Roman"/>
          <w:b/>
          <w:i/>
          <w:sz w:val="32"/>
          <w:szCs w:val="32"/>
          <w:lang w:val="uk-UA"/>
        </w:rPr>
        <w:t>Прийомістисть</w:t>
      </w:r>
      <w:proofErr w:type="spellEnd"/>
      <w:r w:rsidRPr="007826AC">
        <w:rPr>
          <w:rFonts w:ascii="Times New Roman" w:hAnsi="Times New Roman"/>
          <w:i/>
          <w:sz w:val="32"/>
          <w:szCs w:val="32"/>
          <w:lang w:val="uk-UA"/>
        </w:rPr>
        <w:t xml:space="preserve"> –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це властивість двигуна в прогрітому стані під навантаженням швидко переходити від малої частоти обе</w:t>
      </w:r>
      <w:r w:rsidRPr="007826AC">
        <w:rPr>
          <w:rFonts w:ascii="Times New Roman" w:hAnsi="Times New Roman"/>
          <w:sz w:val="32"/>
          <w:szCs w:val="32"/>
          <w:lang w:val="uk-UA"/>
        </w:rPr>
        <w:t>р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тання </w:t>
      </w: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до більшої при різкому відкритті дросельної заслінки. Для забезп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чення гарної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прийомістості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двигуна потрібно, щоб циліндри двиг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на в мить дроселювання наповнювалися збагаченою пальною сум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шшю. При різкому відкритті дросельної заслінки до впускного тр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бопроводу надходить більша порція холодного повітря й рідкого бензину, що приводить до різкого погірше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ня умов пароутворення через недостачу теплоти для повного випару п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лива.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Якщо бензин має високу температуру перегонки 50 % палива, то деяка частина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висококиплячих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вуглеводнів, що становлять роб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чу фракцію палива, у системі живлення не встигає випаровув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тися. У цьому випадку горюча суміш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перезбіднена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, і двигун не здатен д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сягти високої частоти обертання колінчатого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вала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й навіть може з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пинитися.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Для відновлення теплового режиму системи живлення двигуна потрібен певний час. Теплова рівновага встановлюється тим шви</w:t>
      </w:r>
      <w:r w:rsidRPr="007826AC">
        <w:rPr>
          <w:rFonts w:ascii="Times New Roman" w:hAnsi="Times New Roman"/>
          <w:sz w:val="32"/>
          <w:szCs w:val="32"/>
          <w:lang w:val="uk-UA"/>
        </w:rPr>
        <w:t>д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ше, чим краще йде процес випару й сумішоутворення, чим більше в бензині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низ</w:t>
      </w:r>
      <w:r w:rsidRPr="007826AC">
        <w:rPr>
          <w:rFonts w:ascii="Times New Roman" w:hAnsi="Times New Roman"/>
          <w:sz w:val="32"/>
          <w:szCs w:val="32"/>
          <w:lang w:val="uk-UA"/>
        </w:rPr>
        <w:t>ь</w:t>
      </w:r>
      <w:r w:rsidRPr="007826AC">
        <w:rPr>
          <w:rFonts w:ascii="Times New Roman" w:hAnsi="Times New Roman"/>
          <w:sz w:val="32"/>
          <w:szCs w:val="32"/>
          <w:lang w:val="uk-UA"/>
        </w:rPr>
        <w:t>кокиплячих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вуглеводнів. Отже,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прийомістисть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двигуна багато в чому з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лежить від температури перегонки 50 % бензину. Зі зниженням цієї температури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прийомістисть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поліпшується й час ро</w:t>
      </w:r>
      <w:r w:rsidRPr="007826AC">
        <w:rPr>
          <w:rFonts w:ascii="Times New Roman" w:hAnsi="Times New Roman"/>
          <w:sz w:val="32"/>
          <w:szCs w:val="32"/>
          <w:lang w:val="uk-UA"/>
        </w:rPr>
        <w:t>з</w:t>
      </w:r>
      <w:r w:rsidRPr="007826AC">
        <w:rPr>
          <w:rFonts w:ascii="Times New Roman" w:hAnsi="Times New Roman"/>
          <w:sz w:val="32"/>
          <w:szCs w:val="32"/>
          <w:lang w:val="uk-UA"/>
        </w:rPr>
        <w:t>гону автомобіля скорочується. Оптимальний розгін автомобіля сп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стерігається за умови такої випаровуваності бензину, при якій ств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рюється гор</w:t>
      </w:r>
      <w:r w:rsidRPr="007826AC">
        <w:rPr>
          <w:rFonts w:ascii="Times New Roman" w:hAnsi="Times New Roman"/>
          <w:sz w:val="32"/>
          <w:szCs w:val="32"/>
          <w:lang w:val="uk-UA"/>
        </w:rPr>
        <w:t>ю</w:t>
      </w:r>
      <w:r w:rsidRPr="007826AC">
        <w:rPr>
          <w:rFonts w:ascii="Times New Roman" w:hAnsi="Times New Roman"/>
          <w:sz w:val="32"/>
          <w:szCs w:val="32"/>
          <w:lang w:val="uk-UA"/>
        </w:rPr>
        <w:t>ча суміш із повітря й пари палива в співвідношенні 12:1.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Якщо випаровуваність бензину гірша, а отже й вища темпер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тура перегонки 50 % палива, тоді утвориться бідна суміш і час ро</w:t>
      </w:r>
      <w:r w:rsidRPr="007826AC">
        <w:rPr>
          <w:rFonts w:ascii="Times New Roman" w:hAnsi="Times New Roman"/>
          <w:sz w:val="32"/>
          <w:szCs w:val="32"/>
          <w:lang w:val="uk-UA"/>
        </w:rPr>
        <w:t>з</w:t>
      </w:r>
      <w:r w:rsidRPr="007826AC">
        <w:rPr>
          <w:rFonts w:ascii="Times New Roman" w:hAnsi="Times New Roman"/>
          <w:sz w:val="32"/>
          <w:szCs w:val="32"/>
          <w:lang w:val="uk-UA"/>
        </w:rPr>
        <w:t>гону авт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мобіля збільшується.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Температура перегонки 50% бензину повинна бути не більше 120°С. При таких температурах забезпечуються швидкий прогрів і гарна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прийомістисть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двигуна під час експлуатації автом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біля.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b/>
          <w:i/>
          <w:sz w:val="32"/>
          <w:szCs w:val="32"/>
          <w:lang w:val="uk-UA"/>
        </w:rPr>
        <w:t xml:space="preserve">Температури перегонки 90% 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b/>
          <w:i/>
          <w:sz w:val="32"/>
          <w:szCs w:val="32"/>
          <w:lang w:val="uk-UA"/>
        </w:rPr>
        <w:t xml:space="preserve"> кінця кипіння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бензину хара</w:t>
      </w:r>
      <w:r w:rsidRPr="007826AC">
        <w:rPr>
          <w:rFonts w:ascii="Times New Roman" w:hAnsi="Times New Roman"/>
          <w:sz w:val="32"/>
          <w:szCs w:val="32"/>
          <w:lang w:val="uk-UA"/>
        </w:rPr>
        <w:t>к</w:t>
      </w:r>
      <w:r w:rsidRPr="007826AC">
        <w:rPr>
          <w:rFonts w:ascii="Times New Roman" w:hAnsi="Times New Roman"/>
          <w:sz w:val="32"/>
          <w:szCs w:val="32"/>
          <w:lang w:val="uk-UA"/>
        </w:rPr>
        <w:t>териз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ють повноту його випару. Якщо в бензині утримується багато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висококи</w:t>
      </w:r>
      <w:r w:rsidRPr="007826AC">
        <w:rPr>
          <w:rFonts w:ascii="Times New Roman" w:hAnsi="Times New Roman"/>
          <w:sz w:val="32"/>
          <w:szCs w:val="32"/>
          <w:lang w:val="uk-UA"/>
        </w:rPr>
        <w:t>п</w:t>
      </w:r>
      <w:r w:rsidRPr="007826AC">
        <w:rPr>
          <w:rFonts w:ascii="Times New Roman" w:hAnsi="Times New Roman"/>
          <w:sz w:val="32"/>
          <w:szCs w:val="32"/>
          <w:lang w:val="uk-UA"/>
        </w:rPr>
        <w:t>лячих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вуглеводнів, то умови роботи двигуна аналогічні умовам пуску холодного двигуна на бензині з низькою температ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рою початку перегонки.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Висококиплячі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вуглеводні не випаровуют</w:t>
      </w:r>
      <w:r w:rsidRPr="007826AC">
        <w:rPr>
          <w:rFonts w:ascii="Times New Roman" w:hAnsi="Times New Roman"/>
          <w:sz w:val="32"/>
          <w:szCs w:val="32"/>
          <w:lang w:val="uk-UA"/>
        </w:rPr>
        <w:t>ь</w:t>
      </w:r>
      <w:r w:rsidRPr="007826AC">
        <w:rPr>
          <w:rFonts w:ascii="Times New Roman" w:hAnsi="Times New Roman"/>
          <w:sz w:val="32"/>
          <w:szCs w:val="32"/>
          <w:lang w:val="uk-UA"/>
        </w:rPr>
        <w:t>ся у впускному труб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проводі двигуна й потрапляють у циліндри у вигляді рідини. Деяка частина її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паровується й згоряє, а частина, що залишилася, стікає по стінках цилін</w:t>
      </w:r>
      <w:r w:rsidRPr="007826AC">
        <w:rPr>
          <w:rFonts w:ascii="Times New Roman" w:hAnsi="Times New Roman"/>
          <w:sz w:val="32"/>
          <w:szCs w:val="32"/>
          <w:lang w:val="uk-UA"/>
        </w:rPr>
        <w:t>д</w:t>
      </w:r>
      <w:r w:rsidRPr="007826AC">
        <w:rPr>
          <w:rFonts w:ascii="Times New Roman" w:hAnsi="Times New Roman"/>
          <w:sz w:val="32"/>
          <w:szCs w:val="32"/>
          <w:lang w:val="uk-UA"/>
        </w:rPr>
        <w:t>ра й змиває з них мастило. Потрапляючи в ка</w:t>
      </w:r>
      <w:r w:rsidRPr="007826AC">
        <w:rPr>
          <w:rFonts w:ascii="Times New Roman" w:hAnsi="Times New Roman"/>
          <w:sz w:val="32"/>
          <w:szCs w:val="32"/>
          <w:lang w:val="uk-UA"/>
        </w:rPr>
        <w:t>р</w:t>
      </w:r>
      <w:r w:rsidRPr="007826AC">
        <w:rPr>
          <w:rFonts w:ascii="Times New Roman" w:hAnsi="Times New Roman"/>
          <w:sz w:val="32"/>
          <w:szCs w:val="32"/>
          <w:lang w:val="uk-UA"/>
        </w:rPr>
        <w:t>тер двигуна, важкі фракції бензину розріджують масло й зниж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ють його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язкість. У тих місцях, де </w:t>
      </w: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змите мастило, спостерігаються тертя без мастильного матеріалу й підвищене зн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шування дет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лей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При використанні бензинів з високою температурою кінця к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піння підвищуються зношування двигуна, кількість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відкладень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на його деталях і збільшується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трата палива.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Температура перегонки 90 % палива для автомобільного бе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зину повинна бути не вище 190°С. Кінець кипіння бензину пови</w:t>
      </w:r>
      <w:r>
        <w:rPr>
          <w:rFonts w:ascii="Times New Roman" w:hAnsi="Times New Roman"/>
          <w:sz w:val="32"/>
          <w:szCs w:val="32"/>
          <w:lang w:val="uk-UA"/>
        </w:rPr>
        <w:t>нен бути не вище 215</w:t>
      </w:r>
      <w:r w:rsidRPr="007826AC">
        <w:rPr>
          <w:rFonts w:ascii="Times New Roman" w:hAnsi="Times New Roman"/>
          <w:sz w:val="32"/>
          <w:szCs w:val="32"/>
          <w:lang w:val="uk-UA"/>
        </w:rPr>
        <w:t>°С.</w:t>
      </w:r>
    </w:p>
    <w:p w:rsidR="005C735B" w:rsidRPr="00377518" w:rsidRDefault="005C735B" w:rsidP="005C735B">
      <w:pPr>
        <w:pStyle w:val="1"/>
        <w:keepNext w:val="0"/>
        <w:widowControl w:val="0"/>
        <w:ind w:firstLine="709"/>
        <w:jc w:val="both"/>
        <w:rPr>
          <w:sz w:val="16"/>
          <w:szCs w:val="16"/>
          <w:lang w:val="uk-UA"/>
        </w:rPr>
      </w:pPr>
    </w:p>
    <w:p w:rsidR="005C735B" w:rsidRPr="007826AC" w:rsidRDefault="005C735B" w:rsidP="005C735B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7826AC">
        <w:rPr>
          <w:b/>
          <w:sz w:val="36"/>
          <w:szCs w:val="36"/>
          <w:lang w:val="uk-UA"/>
        </w:rPr>
        <w:t>Порядок виконання роботи</w:t>
      </w:r>
    </w:p>
    <w:p w:rsidR="005C735B" w:rsidRPr="00377518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C735B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Перед виконанн</w:t>
      </w:r>
      <w:r>
        <w:rPr>
          <w:rFonts w:ascii="Times New Roman" w:hAnsi="Times New Roman"/>
          <w:sz w:val="32"/>
          <w:szCs w:val="32"/>
          <w:lang w:val="uk-UA"/>
        </w:rPr>
        <w:t>ям досліджень холодильник (рис.69</w:t>
      </w:r>
      <w:r w:rsidRPr="007826AC">
        <w:rPr>
          <w:rFonts w:ascii="Times New Roman" w:hAnsi="Times New Roman"/>
          <w:sz w:val="32"/>
          <w:szCs w:val="32"/>
          <w:lang w:val="uk-UA"/>
        </w:rPr>
        <w:t>.2) слід з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повнити водою з снігом або льодом.</w:t>
      </w:r>
    </w:p>
    <w:p w:rsidR="005C735B" w:rsidRPr="00A717C5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C735B" w:rsidRPr="0085754F" w:rsidRDefault="005C735B" w:rsidP="005C735B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 w:rsidRPr="0085754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96535" cy="3241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" t="2191" r="16109" b="34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5B" w:rsidRPr="0085754F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p w:rsidR="005C735B" w:rsidRPr="0085754F" w:rsidRDefault="005C735B" w:rsidP="005C735B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Рис.69</w:t>
      </w:r>
      <w:r w:rsidRPr="0085754F">
        <w:rPr>
          <w:rFonts w:ascii="Times New Roman" w:hAnsi="Times New Roman"/>
          <w:sz w:val="28"/>
          <w:szCs w:val="28"/>
          <w:lang w:val="uk-UA"/>
        </w:rPr>
        <w:t>.2. Прилад для визначення фракційного состава бензину: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754F">
        <w:rPr>
          <w:rFonts w:ascii="Times New Roman" w:hAnsi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5754F">
        <w:rPr>
          <w:rFonts w:ascii="Times New Roman" w:hAnsi="Times New Roman"/>
          <w:sz w:val="28"/>
          <w:szCs w:val="28"/>
          <w:lang w:val="uk-UA"/>
        </w:rPr>
        <w:t xml:space="preserve"> колба з паливом; 2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5754F">
        <w:rPr>
          <w:rFonts w:ascii="Times New Roman" w:hAnsi="Times New Roman"/>
          <w:sz w:val="28"/>
          <w:szCs w:val="28"/>
          <w:lang w:val="uk-UA"/>
        </w:rPr>
        <w:t xml:space="preserve"> холодильник; 3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5754F">
        <w:rPr>
          <w:rFonts w:ascii="Times New Roman" w:hAnsi="Times New Roman"/>
          <w:sz w:val="28"/>
          <w:szCs w:val="28"/>
          <w:lang w:val="uk-UA"/>
        </w:rPr>
        <w:t xml:space="preserve"> термометр;4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5754F">
        <w:rPr>
          <w:rFonts w:ascii="Times New Roman" w:hAnsi="Times New Roman"/>
          <w:sz w:val="28"/>
          <w:szCs w:val="28"/>
          <w:lang w:val="uk-UA"/>
        </w:rPr>
        <w:t xml:space="preserve"> мірний циліндр; 5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5754F">
        <w:rPr>
          <w:rFonts w:ascii="Times New Roman" w:hAnsi="Times New Roman"/>
          <w:sz w:val="28"/>
          <w:szCs w:val="28"/>
          <w:lang w:val="uk-UA"/>
        </w:rPr>
        <w:t xml:space="preserve"> нагрів</w:t>
      </w:r>
      <w:r w:rsidRPr="0085754F">
        <w:rPr>
          <w:rFonts w:ascii="Times New Roman" w:hAnsi="Times New Roman"/>
          <w:sz w:val="28"/>
          <w:szCs w:val="28"/>
          <w:lang w:val="uk-UA"/>
        </w:rPr>
        <w:t>а</w:t>
      </w:r>
      <w:r w:rsidRPr="0085754F">
        <w:rPr>
          <w:rFonts w:ascii="Times New Roman" w:hAnsi="Times New Roman"/>
          <w:sz w:val="28"/>
          <w:szCs w:val="28"/>
          <w:lang w:val="uk-UA"/>
        </w:rPr>
        <w:t xml:space="preserve">льний прилад; 6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85754F">
        <w:rPr>
          <w:rFonts w:ascii="Times New Roman" w:hAnsi="Times New Roman"/>
          <w:sz w:val="28"/>
          <w:szCs w:val="28"/>
          <w:lang w:val="uk-UA"/>
        </w:rPr>
        <w:t xml:space="preserve"> захисний кожух</w:t>
      </w:r>
    </w:p>
    <w:p w:rsidR="005C735B" w:rsidRPr="00A717C5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При відсутності снігу або льоду через холодильник пропуст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ти водопровідну воду з такою швидкістю, щоб її температура на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ході холодильника не перевищувала 30 </w:t>
      </w:r>
      <w:r w:rsidRPr="007826AC">
        <w:rPr>
          <w:rFonts w:ascii="Times New Roman" w:hAnsi="Times New Roman"/>
          <w:sz w:val="32"/>
          <w:szCs w:val="32"/>
          <w:vertAlign w:val="superscript"/>
          <w:lang w:val="uk-UA"/>
        </w:rPr>
        <w:sym w:font="Symbol" w:char="F0B0"/>
      </w:r>
      <w:r w:rsidRPr="007826AC">
        <w:rPr>
          <w:rFonts w:ascii="Times New Roman" w:hAnsi="Times New Roman"/>
          <w:sz w:val="32"/>
          <w:szCs w:val="32"/>
          <w:lang w:val="uk-UA"/>
        </w:rPr>
        <w:t>С. Температуру вим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рювати термометром типу ТН2.</w:t>
      </w:r>
    </w:p>
    <w:p w:rsidR="005C735B" w:rsidRDefault="005C735B" w:rsidP="005C735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Визначивши вимірювальним циліндром 100 мл досліджуван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го палива, перелити його в колбу, тримаючи останню в такім пол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женні, щоб відвідна трубка була спрямована нагору. Усередину к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лби кинути 2-3 шматочка пористої речовини (порцеляни, шам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ту).</w:t>
      </w:r>
    </w:p>
    <w:p w:rsidR="005C735B" w:rsidRPr="007826AC" w:rsidRDefault="005C735B" w:rsidP="005C735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Після заповнення колби 1 бензином (100 мл) у шийку колби </w:t>
      </w: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встав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ти термометр типу ТИН4-2, щоб вісь термометра збігалася з віссю колби, а верхівка ртутної кульки перебувала на рівні нижнь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го краю відвідної трубки в місці її припаю. Після цього колбу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ставити на азбестову прокладку й закріпити відвідну трубку в хол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дильнику за допомогою корк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вої пробки.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Колбу закрити захисним кожухом, а мірний циліндр розташ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вати під нижній кінець відвідної трубки холодильника таким чином, щоб трубка входила в ц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ліндр не менш, ніж на </w:t>
      </w:r>
      <w:smartTag w:uri="urn:schemas-microsoft-com:office:smarttags" w:element="metricconverter">
        <w:smartTagPr>
          <w:attr w:name="ProductID" w:val="25 мм"/>
        </w:smartTagPr>
        <w:r w:rsidRPr="007826AC">
          <w:rPr>
            <w:rFonts w:ascii="Times New Roman" w:hAnsi="Times New Roman"/>
            <w:sz w:val="32"/>
            <w:szCs w:val="32"/>
            <w:lang w:val="uk-UA"/>
          </w:rPr>
          <w:t>25 мм</w:t>
        </w:r>
      </w:smartTag>
      <w:r w:rsidRPr="007826AC">
        <w:rPr>
          <w:rFonts w:ascii="Times New Roman" w:hAnsi="Times New Roman"/>
          <w:sz w:val="32"/>
          <w:szCs w:val="32"/>
          <w:lang w:val="uk-UA"/>
        </w:rPr>
        <w:t xml:space="preserve">, але не нижче відмітки </w:t>
      </w:r>
      <w:smartTag w:uri="urn:schemas-microsoft-com:office:smarttags" w:element="metricconverter">
        <w:smartTagPr>
          <w:attr w:name="ProductID" w:val="100 мм"/>
        </w:smartTagPr>
        <w:r w:rsidRPr="007826AC">
          <w:rPr>
            <w:rFonts w:ascii="Times New Roman" w:hAnsi="Times New Roman"/>
            <w:sz w:val="32"/>
            <w:szCs w:val="32"/>
            <w:lang w:val="uk-UA"/>
          </w:rPr>
          <w:t>100</w:t>
        </w:r>
        <w:r w:rsidRPr="007826AC">
          <w:rPr>
            <w:rFonts w:ascii="Times New Roman" w:hAnsi="Times New Roman"/>
            <w:b/>
            <w:sz w:val="32"/>
            <w:szCs w:val="32"/>
            <w:lang w:val="uk-UA"/>
          </w:rPr>
          <w:t xml:space="preserve"> </w:t>
        </w:r>
        <w:r w:rsidRPr="007826AC">
          <w:rPr>
            <w:rFonts w:ascii="Times New Roman" w:hAnsi="Times New Roman"/>
            <w:sz w:val="32"/>
            <w:szCs w:val="32"/>
            <w:lang w:val="uk-UA"/>
          </w:rPr>
          <w:t>мм</w:t>
        </w:r>
      </w:smartTag>
      <w:r w:rsidRPr="007826AC">
        <w:rPr>
          <w:rFonts w:ascii="Times New Roman" w:hAnsi="Times New Roman"/>
          <w:b/>
          <w:sz w:val="32"/>
          <w:szCs w:val="32"/>
          <w:lang w:val="uk-UA"/>
        </w:rPr>
        <w:t xml:space="preserve">. </w:t>
      </w:r>
      <w:r w:rsidRPr="007826AC">
        <w:rPr>
          <w:rFonts w:ascii="Times New Roman" w:hAnsi="Times New Roman"/>
          <w:sz w:val="32"/>
          <w:szCs w:val="32"/>
          <w:lang w:val="uk-UA"/>
        </w:rPr>
        <w:t>Після проведення зазначених підготовчих операцій приступити безпосередньо до проведення процесу п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регонки.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Перегонку здійснювати в 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ступному порядку:</w:t>
      </w:r>
    </w:p>
    <w:p w:rsidR="005C735B" w:rsidRPr="00A717C5" w:rsidRDefault="005C735B" w:rsidP="005C735B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717C5">
        <w:rPr>
          <w:rFonts w:ascii="Times New Roman" w:hAnsi="Times New Roman"/>
          <w:sz w:val="32"/>
          <w:szCs w:val="32"/>
          <w:lang w:val="uk-UA"/>
        </w:rPr>
        <w:t>Ввімкнути нагрівальний прилад. Інтенсивність нагрівання повинна бути такою, щоб перша крапля дистиляту впала із трубки холодильника не раніше, ніж через 5...10 хв.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717C5">
        <w:rPr>
          <w:rFonts w:ascii="Times New Roman" w:hAnsi="Times New Roman"/>
          <w:sz w:val="32"/>
          <w:szCs w:val="32"/>
          <w:lang w:val="uk-UA"/>
        </w:rPr>
        <w:t>Температуру, зафікс</w:t>
      </w:r>
      <w:r w:rsidRPr="00A717C5">
        <w:rPr>
          <w:rFonts w:ascii="Times New Roman" w:hAnsi="Times New Roman"/>
          <w:sz w:val="32"/>
          <w:szCs w:val="32"/>
          <w:lang w:val="uk-UA"/>
        </w:rPr>
        <w:t>о</w:t>
      </w:r>
      <w:r w:rsidRPr="00A717C5">
        <w:rPr>
          <w:rFonts w:ascii="Times New Roman" w:hAnsi="Times New Roman"/>
          <w:sz w:val="32"/>
          <w:szCs w:val="32"/>
          <w:lang w:val="uk-UA"/>
        </w:rPr>
        <w:t>вану термометром у момент падіння першої краплі, умовно прийн</w:t>
      </w:r>
      <w:r w:rsidRPr="00A717C5">
        <w:rPr>
          <w:rFonts w:ascii="Times New Roman" w:hAnsi="Times New Roman"/>
          <w:sz w:val="32"/>
          <w:szCs w:val="32"/>
          <w:lang w:val="uk-UA"/>
        </w:rPr>
        <w:t>я</w:t>
      </w:r>
      <w:r w:rsidRPr="00A717C5">
        <w:rPr>
          <w:rFonts w:ascii="Times New Roman" w:hAnsi="Times New Roman"/>
          <w:sz w:val="32"/>
          <w:szCs w:val="32"/>
          <w:lang w:val="uk-UA"/>
        </w:rPr>
        <w:t>ти за температуру початку п</w:t>
      </w:r>
      <w:r w:rsidRPr="00A717C5">
        <w:rPr>
          <w:rFonts w:ascii="Times New Roman" w:hAnsi="Times New Roman"/>
          <w:sz w:val="32"/>
          <w:szCs w:val="32"/>
          <w:lang w:val="uk-UA"/>
        </w:rPr>
        <w:t>е</w:t>
      </w:r>
      <w:r w:rsidRPr="00A717C5">
        <w:rPr>
          <w:rFonts w:ascii="Times New Roman" w:hAnsi="Times New Roman"/>
          <w:sz w:val="32"/>
          <w:szCs w:val="32"/>
          <w:lang w:val="uk-UA"/>
        </w:rPr>
        <w:t>регонки.</w:t>
      </w:r>
    </w:p>
    <w:p w:rsidR="005C735B" w:rsidRPr="007826AC" w:rsidRDefault="005C735B" w:rsidP="005C735B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Подальшу перегонку вести зі швидкістю 4...5 мл/хв, що ві</w:t>
      </w:r>
      <w:r w:rsidRPr="007826AC">
        <w:rPr>
          <w:rFonts w:ascii="Times New Roman" w:hAnsi="Times New Roman"/>
          <w:sz w:val="32"/>
          <w:szCs w:val="32"/>
          <w:lang w:val="uk-UA"/>
        </w:rPr>
        <w:t>д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повідає 20...25 краплям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зa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10 с. Запис показань термометра вести через кожні 10 мл перегнаного дистиляту.</w:t>
      </w:r>
    </w:p>
    <w:p w:rsidR="005C735B" w:rsidRPr="007826AC" w:rsidRDefault="005C735B" w:rsidP="005C735B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 Після відгону 90 % дистиляту нагрівання колби відрегул</w:t>
      </w:r>
      <w:r w:rsidRPr="007826AC">
        <w:rPr>
          <w:rFonts w:ascii="Times New Roman" w:hAnsi="Times New Roman"/>
          <w:sz w:val="32"/>
          <w:szCs w:val="32"/>
          <w:lang w:val="uk-UA"/>
        </w:rPr>
        <w:t>ю</w:t>
      </w:r>
      <w:r w:rsidRPr="007826AC">
        <w:rPr>
          <w:rFonts w:ascii="Times New Roman" w:hAnsi="Times New Roman"/>
          <w:sz w:val="32"/>
          <w:szCs w:val="32"/>
          <w:lang w:val="uk-UA"/>
        </w:rPr>
        <w:t>вати таким чином, щоб до кінця перегонки залишилося 3-5 хв. П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регонку закінчити, коли ртутний стовпчик зупиниться. У цей м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мент записати температуру кінця перегонки, вимкнути підігрів, зн</w:t>
      </w:r>
      <w:r w:rsidRPr="007826AC">
        <w:rPr>
          <w:rFonts w:ascii="Times New Roman" w:hAnsi="Times New Roman"/>
          <w:sz w:val="32"/>
          <w:szCs w:val="32"/>
          <w:lang w:val="uk-UA"/>
        </w:rPr>
        <w:t>я</w:t>
      </w:r>
      <w:r w:rsidRPr="007826AC">
        <w:rPr>
          <w:rFonts w:ascii="Times New Roman" w:hAnsi="Times New Roman"/>
          <w:sz w:val="32"/>
          <w:szCs w:val="32"/>
          <w:lang w:val="uk-UA"/>
        </w:rPr>
        <w:t>ти з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хисний кожух і дати колбі прохолонути протягом 5 хв.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4</w:t>
      </w:r>
      <w:r w:rsidRPr="007826AC">
        <w:rPr>
          <w:rFonts w:ascii="Times New Roman" w:hAnsi="Times New Roman"/>
          <w:sz w:val="32"/>
          <w:szCs w:val="32"/>
          <w:lang w:val="uk-UA"/>
        </w:rPr>
        <w:t>. Після охолодження колби, вийняти термометр і зняти колбу з приладу. Залишок, що залишився в колбі, злити в мірний циліндр на 10 мл і замірити з точністю до 0,1 мл.</w:t>
      </w:r>
    </w:p>
    <w:p w:rsidR="005C735B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5</w:t>
      </w:r>
      <w:r w:rsidRPr="007826AC">
        <w:rPr>
          <w:rFonts w:ascii="Times New Roman" w:hAnsi="Times New Roman"/>
          <w:sz w:val="32"/>
          <w:szCs w:val="32"/>
          <w:lang w:val="uk-UA"/>
        </w:rPr>
        <w:t>. За результатами перегонки заповнити протокол (</w:t>
      </w:r>
      <w:r>
        <w:rPr>
          <w:rFonts w:ascii="Times New Roman" w:hAnsi="Times New Roman"/>
          <w:sz w:val="32"/>
          <w:szCs w:val="32"/>
          <w:lang w:val="uk-UA"/>
        </w:rPr>
        <w:t>табл.69</w:t>
      </w:r>
      <w:r w:rsidRPr="007826AC">
        <w:rPr>
          <w:rFonts w:ascii="Times New Roman" w:hAnsi="Times New Roman"/>
          <w:sz w:val="32"/>
          <w:szCs w:val="32"/>
          <w:lang w:val="uk-UA"/>
        </w:rPr>
        <w:t>.1).</w:t>
      </w:r>
    </w:p>
    <w:p w:rsidR="005C735B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C735B" w:rsidRPr="00A717C5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C735B" w:rsidRPr="00C87CE6" w:rsidRDefault="005C735B" w:rsidP="005C735B">
      <w:pPr>
        <w:pStyle w:val="a7"/>
        <w:widowControl w:val="0"/>
        <w:rPr>
          <w:i/>
          <w:szCs w:val="28"/>
          <w:lang w:val="uk-UA"/>
        </w:rPr>
      </w:pPr>
      <w:r w:rsidRPr="00544AF6">
        <w:rPr>
          <w:i/>
          <w:szCs w:val="28"/>
        </w:rPr>
        <w:t xml:space="preserve">                                                                                                                </w:t>
      </w:r>
      <w:r w:rsidRPr="00C87CE6">
        <w:rPr>
          <w:i/>
          <w:szCs w:val="28"/>
          <w:lang w:val="uk-UA"/>
        </w:rPr>
        <w:t>Таблиця 69.1</w:t>
      </w:r>
    </w:p>
    <w:p w:rsidR="005C735B" w:rsidRPr="00C87CE6" w:rsidRDefault="005C735B" w:rsidP="005C735B">
      <w:pPr>
        <w:pStyle w:val="a7"/>
        <w:widowControl w:val="0"/>
        <w:jc w:val="right"/>
        <w:rPr>
          <w:szCs w:val="28"/>
          <w:lang w:val="uk-UA"/>
        </w:rPr>
      </w:pPr>
    </w:p>
    <w:p w:rsidR="005C735B" w:rsidRPr="00C87CE6" w:rsidRDefault="005C735B" w:rsidP="005C735B">
      <w:pPr>
        <w:pStyle w:val="a7"/>
        <w:widowControl w:val="0"/>
        <w:rPr>
          <w:b/>
          <w:szCs w:val="28"/>
          <w:lang w:val="uk-UA"/>
        </w:rPr>
      </w:pPr>
      <w:r w:rsidRPr="00C87CE6">
        <w:rPr>
          <w:b/>
          <w:szCs w:val="28"/>
          <w:lang w:val="uk-UA"/>
        </w:rPr>
        <w:t>Протокол випробувань</w:t>
      </w:r>
    </w:p>
    <w:p w:rsidR="005C735B" w:rsidRPr="00A717C5" w:rsidRDefault="005C735B" w:rsidP="005C735B">
      <w:pPr>
        <w:pStyle w:val="a7"/>
        <w:widowControl w:val="0"/>
        <w:rPr>
          <w:sz w:val="16"/>
          <w:szCs w:val="16"/>
          <w:lang w:val="uk-UA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1"/>
        <w:gridCol w:w="1184"/>
        <w:gridCol w:w="1213"/>
        <w:gridCol w:w="999"/>
        <w:gridCol w:w="1033"/>
        <w:gridCol w:w="999"/>
      </w:tblGrid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859"/>
          <w:jc w:val="center"/>
        </w:trPr>
        <w:tc>
          <w:tcPr>
            <w:tcW w:w="3972" w:type="dxa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C735B" w:rsidRPr="00C87CE6" w:rsidRDefault="005C735B" w:rsidP="00F95582">
            <w:pPr>
              <w:pStyle w:val="3"/>
              <w:keepNext w:val="0"/>
              <w:widowControl w:val="0"/>
              <w:jc w:val="center"/>
              <w:rPr>
                <w:szCs w:val="28"/>
                <w:lang w:val="uk-UA"/>
              </w:rPr>
            </w:pPr>
            <w:r w:rsidRPr="00C87CE6">
              <w:rPr>
                <w:szCs w:val="28"/>
                <w:lang w:val="uk-UA"/>
              </w:rPr>
              <w:t>Показники</w:t>
            </w:r>
          </w:p>
        </w:tc>
        <w:tc>
          <w:tcPr>
            <w:tcW w:w="1169" w:type="dxa"/>
            <w:vAlign w:val="center"/>
          </w:tcPr>
          <w:p w:rsidR="005C735B" w:rsidRPr="00C87CE6" w:rsidRDefault="005C735B" w:rsidP="00F95582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 відгону, </w:t>
            </w: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1198" w:type="dxa"/>
            <w:vAlign w:val="center"/>
          </w:tcPr>
          <w:p w:rsidR="005C735B" w:rsidRPr="00C87CE6" w:rsidRDefault="005C735B" w:rsidP="00F95582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t>При темп.,</w:t>
            </w:r>
          </w:p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sym w:font="Symbol" w:char="F0B0"/>
            </w: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pStyle w:val="5"/>
              <w:widowControl w:val="0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b w:val="0"/>
                <w:i w:val="0"/>
                <w:sz w:val="28"/>
                <w:szCs w:val="28"/>
                <w:lang w:val="uk-UA"/>
              </w:rPr>
              <w:t>А-76</w:t>
            </w:r>
          </w:p>
          <w:p w:rsidR="005C735B" w:rsidRPr="00C87CE6" w:rsidRDefault="005C735B" w:rsidP="00F95582">
            <w:pPr>
              <w:pStyle w:val="5"/>
              <w:widowControl w:val="0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b w:val="0"/>
                <w:i w:val="0"/>
                <w:sz w:val="28"/>
                <w:szCs w:val="28"/>
                <w:lang w:val="uk-UA"/>
              </w:rPr>
              <w:t>ДСТУ</w:t>
            </w:r>
          </w:p>
          <w:p w:rsidR="005C735B" w:rsidRPr="00C87CE6" w:rsidRDefault="005C735B" w:rsidP="00F95582">
            <w:pPr>
              <w:pStyle w:val="5"/>
              <w:widowControl w:val="0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b w:val="0"/>
                <w:i w:val="0"/>
                <w:sz w:val="28"/>
                <w:szCs w:val="28"/>
                <w:lang w:val="uk-UA"/>
              </w:rPr>
              <w:t>4063-2001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pStyle w:val="3"/>
              <w:keepNext w:val="0"/>
              <w:widowControl w:val="0"/>
              <w:ind w:firstLine="34"/>
              <w:jc w:val="center"/>
              <w:rPr>
                <w:szCs w:val="28"/>
                <w:lang w:val="uk-UA"/>
              </w:rPr>
            </w:pPr>
            <w:r w:rsidRPr="00C87CE6">
              <w:rPr>
                <w:szCs w:val="28"/>
                <w:lang w:val="uk-UA"/>
              </w:rPr>
              <w:t>А-92</w:t>
            </w:r>
          </w:p>
          <w:p w:rsidR="005C735B" w:rsidRPr="00C87CE6" w:rsidRDefault="005C735B" w:rsidP="00F95582">
            <w:pPr>
              <w:pStyle w:val="3"/>
              <w:keepNext w:val="0"/>
              <w:widowControl w:val="0"/>
              <w:ind w:firstLine="34"/>
              <w:jc w:val="center"/>
              <w:rPr>
                <w:szCs w:val="28"/>
                <w:lang w:val="uk-UA"/>
              </w:rPr>
            </w:pPr>
            <w:r w:rsidRPr="00C87CE6">
              <w:rPr>
                <w:szCs w:val="28"/>
                <w:lang w:val="uk-UA"/>
              </w:rPr>
              <w:t>ДСТУ</w:t>
            </w:r>
          </w:p>
          <w:p w:rsidR="005C735B" w:rsidRPr="00C87CE6" w:rsidRDefault="005C735B" w:rsidP="00F95582">
            <w:pPr>
              <w:pStyle w:val="3"/>
              <w:keepNext w:val="0"/>
              <w:widowControl w:val="0"/>
              <w:ind w:firstLine="34"/>
              <w:jc w:val="center"/>
              <w:rPr>
                <w:szCs w:val="28"/>
                <w:lang w:val="uk-UA"/>
              </w:rPr>
            </w:pPr>
            <w:r w:rsidRPr="00C87CE6">
              <w:rPr>
                <w:szCs w:val="28"/>
                <w:lang w:val="uk-UA"/>
              </w:rPr>
              <w:t>4063-2001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C735B" w:rsidRPr="00C87CE6" w:rsidRDefault="005C735B" w:rsidP="00F95582">
            <w:pPr>
              <w:pStyle w:val="4"/>
              <w:keepNext w:val="0"/>
              <w:widowControl w:val="0"/>
              <w:spacing w:before="0" w:after="0" w:line="240" w:lineRule="auto"/>
              <w:rPr>
                <w:rFonts w:ascii="Times New Roman" w:hAnsi="Times New Roman"/>
                <w:b w:val="0"/>
                <w:lang w:val="uk-UA"/>
              </w:rPr>
            </w:pPr>
            <w:r w:rsidRPr="00C87CE6">
              <w:rPr>
                <w:rFonts w:ascii="Times New Roman" w:hAnsi="Times New Roman"/>
                <w:b w:val="0"/>
                <w:lang w:val="uk-UA"/>
              </w:rPr>
              <w:t>А-95</w:t>
            </w:r>
          </w:p>
          <w:p w:rsidR="005C735B" w:rsidRPr="00C87CE6" w:rsidRDefault="005C735B" w:rsidP="00F95582">
            <w:pPr>
              <w:pStyle w:val="4"/>
              <w:keepNext w:val="0"/>
              <w:widowControl w:val="0"/>
              <w:spacing w:before="0" w:after="0" w:line="240" w:lineRule="auto"/>
              <w:rPr>
                <w:rFonts w:ascii="Times New Roman" w:hAnsi="Times New Roman"/>
                <w:b w:val="0"/>
                <w:lang w:val="uk-UA"/>
              </w:rPr>
            </w:pPr>
            <w:r w:rsidRPr="00C87CE6">
              <w:rPr>
                <w:rFonts w:ascii="Times New Roman" w:hAnsi="Times New Roman"/>
                <w:b w:val="0"/>
                <w:lang w:val="uk-UA"/>
              </w:rPr>
              <w:t>ДСТУ</w:t>
            </w:r>
          </w:p>
          <w:p w:rsidR="005C735B" w:rsidRPr="00C87CE6" w:rsidRDefault="005C735B" w:rsidP="00F95582">
            <w:pPr>
              <w:pStyle w:val="4"/>
              <w:keepNext w:val="0"/>
              <w:widowControl w:val="0"/>
              <w:spacing w:before="0" w:after="0" w:line="240" w:lineRule="auto"/>
              <w:rPr>
                <w:rFonts w:ascii="Times New Roman" w:hAnsi="Times New Roman"/>
                <w:b w:val="0"/>
                <w:lang w:val="uk-UA"/>
              </w:rPr>
            </w:pPr>
            <w:r w:rsidRPr="00C87CE6">
              <w:rPr>
                <w:rFonts w:ascii="Times New Roman" w:hAnsi="Times New Roman"/>
                <w:b w:val="0"/>
                <w:lang w:val="uk-UA"/>
              </w:rPr>
              <w:t>4063-2001</w:t>
            </w:r>
          </w:p>
        </w:tc>
      </w:tr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532"/>
          <w:jc w:val="center"/>
        </w:trPr>
        <w:tc>
          <w:tcPr>
            <w:tcW w:w="3972" w:type="dxa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Температура </w:t>
            </w: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t>початку</w:t>
            </w: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перего</w:t>
            </w: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ки бензину, </w:t>
            </w: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sym w:font="Symbol" w:char="F0B0"/>
            </w: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С, не нижче</w:t>
            </w:r>
          </w:p>
        </w:tc>
        <w:tc>
          <w:tcPr>
            <w:tcW w:w="1169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8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</w:tr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3972" w:type="dxa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 вище</w:t>
            </w:r>
          </w:p>
        </w:tc>
        <w:tc>
          <w:tcPr>
            <w:tcW w:w="1169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198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</w:tr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3972" w:type="dxa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-“-</w:t>
            </w:r>
          </w:p>
        </w:tc>
        <w:tc>
          <w:tcPr>
            <w:tcW w:w="1169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198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269"/>
          <w:jc w:val="center"/>
        </w:trPr>
        <w:tc>
          <w:tcPr>
            <w:tcW w:w="3972" w:type="dxa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-“-</w:t>
            </w:r>
          </w:p>
        </w:tc>
        <w:tc>
          <w:tcPr>
            <w:tcW w:w="1169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198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3972" w:type="dxa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-“-</w:t>
            </w:r>
          </w:p>
        </w:tc>
        <w:tc>
          <w:tcPr>
            <w:tcW w:w="1169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198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3972" w:type="dxa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 вище</w:t>
            </w:r>
          </w:p>
        </w:tc>
        <w:tc>
          <w:tcPr>
            <w:tcW w:w="1169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198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</w:tr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275"/>
          <w:jc w:val="center"/>
        </w:trPr>
        <w:tc>
          <w:tcPr>
            <w:tcW w:w="3972" w:type="dxa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-“-</w:t>
            </w:r>
          </w:p>
        </w:tc>
        <w:tc>
          <w:tcPr>
            <w:tcW w:w="1169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198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3972" w:type="dxa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-“-</w:t>
            </w:r>
          </w:p>
        </w:tc>
        <w:tc>
          <w:tcPr>
            <w:tcW w:w="1169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198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3972" w:type="dxa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-“-</w:t>
            </w:r>
          </w:p>
        </w:tc>
        <w:tc>
          <w:tcPr>
            <w:tcW w:w="1169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198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3972" w:type="dxa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 вище</w:t>
            </w:r>
          </w:p>
        </w:tc>
        <w:tc>
          <w:tcPr>
            <w:tcW w:w="1169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1198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</w:tr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3972" w:type="dxa"/>
          </w:tcPr>
          <w:p w:rsidR="005C735B" w:rsidRPr="00C87CE6" w:rsidRDefault="005C735B" w:rsidP="00F955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t>кінець кипіння бенз</w:t>
            </w: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ну, </w:t>
            </w: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0"/>
            </w: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t>С, не вище</w:t>
            </w:r>
          </w:p>
        </w:tc>
        <w:tc>
          <w:tcPr>
            <w:tcW w:w="1169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98" w:type="dxa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215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215</w:t>
            </w:r>
          </w:p>
        </w:tc>
        <w:tc>
          <w:tcPr>
            <w:tcW w:w="0" w:type="auto"/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215</w:t>
            </w:r>
          </w:p>
        </w:tc>
      </w:tr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73"/>
          <w:jc w:val="center"/>
        </w:trPr>
        <w:tc>
          <w:tcPr>
            <w:tcW w:w="3972" w:type="dxa"/>
            <w:tcBorders>
              <w:bottom w:val="single" w:sz="4" w:space="0" w:color="auto"/>
            </w:tcBorders>
          </w:tcPr>
          <w:p w:rsidR="005C735B" w:rsidRPr="00C87CE6" w:rsidRDefault="005C735B" w:rsidP="00F955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t>залишок у колбі, %, не б</w:t>
            </w: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t>льше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5C735B" w:rsidRPr="00C87CE6" w:rsidTr="00F95582">
        <w:tblPrEx>
          <w:tblCellMar>
            <w:top w:w="0" w:type="dxa"/>
            <w:bottom w:w="0" w:type="dxa"/>
          </w:tblCellMar>
        </w:tblPrEx>
        <w:trPr>
          <w:cantSplit/>
          <w:trHeight w:val="73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5B" w:rsidRPr="00C87CE6" w:rsidRDefault="005C735B" w:rsidP="00F955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t>залишок і втрати, %, не біл</w:t>
            </w: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C87CE6">
              <w:rPr>
                <w:rFonts w:ascii="Times New Roman" w:hAnsi="Times New Roman"/>
                <w:sz w:val="28"/>
                <w:szCs w:val="28"/>
                <w:lang w:val="uk-UA"/>
              </w:rPr>
              <w:t>ше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5B" w:rsidRPr="00C87CE6" w:rsidRDefault="005C735B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7C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4,0</w:t>
            </w:r>
          </w:p>
        </w:tc>
      </w:tr>
    </w:tbl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bookmarkStart w:id="0" w:name="_GoBack"/>
      <w:bookmarkEnd w:id="0"/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6</w:t>
      </w:r>
      <w:r w:rsidRPr="007826AC">
        <w:rPr>
          <w:rFonts w:ascii="Times New Roman" w:hAnsi="Times New Roman"/>
          <w:sz w:val="32"/>
          <w:szCs w:val="32"/>
          <w:lang w:val="uk-UA"/>
        </w:rPr>
        <w:t>. Порівняти отримані результати з показниками ДСТУ 4063-2001 і зробити висновок про відповідність зразка палива по цьому показнику нормам станда</w:t>
      </w:r>
      <w:r w:rsidRPr="007826AC">
        <w:rPr>
          <w:rFonts w:ascii="Times New Roman" w:hAnsi="Times New Roman"/>
          <w:sz w:val="32"/>
          <w:szCs w:val="32"/>
          <w:lang w:val="uk-UA"/>
        </w:rPr>
        <w:t>р</w:t>
      </w:r>
      <w:r w:rsidRPr="007826AC">
        <w:rPr>
          <w:rFonts w:ascii="Times New Roman" w:hAnsi="Times New Roman"/>
          <w:sz w:val="32"/>
          <w:szCs w:val="32"/>
          <w:lang w:val="uk-UA"/>
        </w:rPr>
        <w:t>ту.</w:t>
      </w:r>
    </w:p>
    <w:p w:rsidR="005C735B" w:rsidRPr="007826AC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7</w:t>
      </w:r>
      <w:r w:rsidRPr="007826AC">
        <w:rPr>
          <w:rFonts w:ascii="Times New Roman" w:hAnsi="Times New Roman"/>
          <w:sz w:val="32"/>
          <w:szCs w:val="32"/>
          <w:lang w:val="uk-UA"/>
        </w:rPr>
        <w:t>. Дати експлуатаційну оцінку випробуваному паливу, оцін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вши залежність пускових якостей бензину, його здатності забезп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чувати доста</w:t>
      </w:r>
      <w:r w:rsidRPr="007826AC">
        <w:rPr>
          <w:rFonts w:ascii="Times New Roman" w:hAnsi="Times New Roman"/>
          <w:sz w:val="32"/>
          <w:szCs w:val="32"/>
          <w:lang w:val="uk-UA"/>
        </w:rPr>
        <w:t>т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ню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прийомістисть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двигуна, утворювати парові корки й розріджувати ма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ло в картері від значень характерних крапок фракційного состава. </w:t>
      </w:r>
    </w:p>
    <w:p w:rsidR="005C735B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 графіком (рис.69</w:t>
      </w:r>
      <w:r w:rsidRPr="007826AC">
        <w:rPr>
          <w:rFonts w:ascii="Times New Roman" w:hAnsi="Times New Roman"/>
          <w:sz w:val="32"/>
          <w:szCs w:val="32"/>
          <w:lang w:val="uk-UA"/>
        </w:rPr>
        <w:t>.3), що визначає залежність зношування двигуна й витрати палива від температури кінця перегонки бензину, проаналізувати роботу двиг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на на випробуваному паливі.</w:t>
      </w:r>
    </w:p>
    <w:p w:rsidR="005C735B" w:rsidRPr="007826AC" w:rsidRDefault="005C735B" w:rsidP="005C735B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636E05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46575" cy="3455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29" t="42113" r="31726" b="21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5B" w:rsidRPr="00C87CE6" w:rsidRDefault="005C735B" w:rsidP="005C735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735B" w:rsidRDefault="005C735B" w:rsidP="005C735B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Рис.69</w:t>
      </w:r>
      <w:r w:rsidRPr="00C87CE6">
        <w:rPr>
          <w:rFonts w:ascii="Times New Roman" w:hAnsi="Times New Roman"/>
          <w:sz w:val="28"/>
          <w:szCs w:val="28"/>
          <w:lang w:val="uk-UA"/>
        </w:rPr>
        <w:t>.3. Графік залежності знош</w:t>
      </w:r>
      <w:r w:rsidRPr="00C87CE6">
        <w:rPr>
          <w:rFonts w:ascii="Times New Roman" w:hAnsi="Times New Roman"/>
          <w:sz w:val="28"/>
          <w:szCs w:val="28"/>
          <w:lang w:val="uk-UA"/>
        </w:rPr>
        <w:t>у</w:t>
      </w:r>
      <w:r w:rsidRPr="00C87CE6">
        <w:rPr>
          <w:rFonts w:ascii="Times New Roman" w:hAnsi="Times New Roman"/>
          <w:sz w:val="28"/>
          <w:szCs w:val="28"/>
          <w:lang w:val="uk-UA"/>
        </w:rPr>
        <w:t>вання двигуна й витрати палива від</w:t>
      </w:r>
    </w:p>
    <w:p w:rsidR="005C735B" w:rsidRDefault="005C735B" w:rsidP="005C735B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87CE6">
        <w:rPr>
          <w:rFonts w:ascii="Times New Roman" w:hAnsi="Times New Roman"/>
          <w:sz w:val="28"/>
          <w:szCs w:val="28"/>
          <w:lang w:val="uk-UA"/>
        </w:rPr>
        <w:t xml:space="preserve">температури кінця перегонки: </w:t>
      </w:r>
      <w:r w:rsidRPr="00C87CE6">
        <w:rPr>
          <w:rFonts w:ascii="Times New Roman" w:hAnsi="Times New Roman"/>
          <w:sz w:val="28"/>
          <w:szCs w:val="28"/>
        </w:rPr>
        <w:t>1</w:t>
      </w:r>
      <w:r w:rsidRPr="00C87C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7CE6">
        <w:rPr>
          <w:rFonts w:ascii="Times New Roman" w:hAnsi="Times New Roman"/>
          <w:i/>
          <w:sz w:val="28"/>
          <w:szCs w:val="28"/>
          <w:lang w:val="uk-UA"/>
        </w:rPr>
        <w:t>–</w:t>
      </w:r>
      <w:r w:rsidRPr="00C87CE6">
        <w:rPr>
          <w:rFonts w:ascii="Times New Roman" w:hAnsi="Times New Roman"/>
          <w:sz w:val="28"/>
          <w:szCs w:val="28"/>
          <w:lang w:val="uk-UA"/>
        </w:rPr>
        <w:t xml:space="preserve"> крива зношува</w:t>
      </w:r>
      <w:r>
        <w:rPr>
          <w:rFonts w:ascii="Times New Roman" w:hAnsi="Times New Roman"/>
          <w:sz w:val="28"/>
          <w:szCs w:val="28"/>
          <w:lang w:val="uk-UA"/>
        </w:rPr>
        <w:t>ння двигуна;</w:t>
      </w:r>
    </w:p>
    <w:p w:rsidR="005C735B" w:rsidRPr="00C87CE6" w:rsidRDefault="005C735B" w:rsidP="005C735B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C87CE6">
        <w:rPr>
          <w:rFonts w:ascii="Times New Roman" w:hAnsi="Times New Roman"/>
          <w:sz w:val="28"/>
          <w:szCs w:val="28"/>
          <w:lang w:val="uk-UA"/>
        </w:rPr>
        <w:t>– крива</w:t>
      </w:r>
      <w:r w:rsidRPr="00C87CE6">
        <w:rPr>
          <w:rFonts w:ascii="Times New Roman" w:hAnsi="Times New Roman"/>
          <w:sz w:val="28"/>
          <w:szCs w:val="28"/>
        </w:rPr>
        <w:t xml:space="preserve"> </w:t>
      </w:r>
      <w:r w:rsidRPr="00C87CE6">
        <w:rPr>
          <w:rFonts w:ascii="Times New Roman" w:hAnsi="Times New Roman"/>
          <w:sz w:val="28"/>
          <w:szCs w:val="28"/>
          <w:lang w:val="uk-UA"/>
        </w:rPr>
        <w:t>витрати п</w:t>
      </w:r>
      <w:r w:rsidRPr="00C87CE6">
        <w:rPr>
          <w:rFonts w:ascii="Times New Roman" w:hAnsi="Times New Roman"/>
          <w:sz w:val="28"/>
          <w:szCs w:val="28"/>
          <w:lang w:val="uk-UA"/>
        </w:rPr>
        <w:t>а</w:t>
      </w:r>
      <w:r w:rsidRPr="00C87CE6">
        <w:rPr>
          <w:rFonts w:ascii="Times New Roman" w:hAnsi="Times New Roman"/>
          <w:sz w:val="28"/>
          <w:szCs w:val="28"/>
          <w:lang w:val="uk-UA"/>
        </w:rPr>
        <w:t>лива</w:t>
      </w:r>
    </w:p>
    <w:p w:rsidR="005C735B" w:rsidRPr="00C87CE6" w:rsidRDefault="005C735B" w:rsidP="005C735B">
      <w:pPr>
        <w:pStyle w:val="a3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C735B" w:rsidRDefault="005C735B" w:rsidP="005C7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Дати оцінку якості бензину, зазначивши, до яких наслідків призведе використ</w:t>
      </w:r>
      <w:r>
        <w:rPr>
          <w:rFonts w:ascii="Times New Roman" w:hAnsi="Times New Roman"/>
          <w:sz w:val="32"/>
          <w:szCs w:val="32"/>
          <w:lang w:val="uk-UA"/>
        </w:rPr>
        <w:t>ання даного палива на практиці.</w:t>
      </w:r>
    </w:p>
    <w:p w:rsidR="005C735B" w:rsidRPr="00C87CE6" w:rsidRDefault="005C735B" w:rsidP="005C735B">
      <w:pPr>
        <w:pStyle w:val="2"/>
        <w:keepNext w:val="0"/>
        <w:widowControl w:val="0"/>
        <w:ind w:firstLine="709"/>
        <w:jc w:val="both"/>
        <w:rPr>
          <w:b w:val="0"/>
          <w:szCs w:val="28"/>
          <w:lang w:val="uk-UA"/>
        </w:rPr>
      </w:pPr>
    </w:p>
    <w:p w:rsidR="005C735B" w:rsidRPr="007826AC" w:rsidRDefault="005C735B" w:rsidP="005C735B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7826AC">
        <w:rPr>
          <w:sz w:val="36"/>
          <w:szCs w:val="36"/>
          <w:lang w:val="uk-UA"/>
        </w:rPr>
        <w:t>Контрольні запитання</w:t>
      </w:r>
    </w:p>
    <w:p w:rsidR="005C735B" w:rsidRPr="007826AC" w:rsidRDefault="005C735B" w:rsidP="005C735B">
      <w:pPr>
        <w:spacing w:after="0" w:line="240" w:lineRule="auto"/>
        <w:rPr>
          <w:rFonts w:ascii="Times New Roman" w:hAnsi="Times New Roman"/>
          <w:lang w:val="uk-UA"/>
        </w:rPr>
      </w:pPr>
    </w:p>
    <w:p w:rsidR="005C735B" w:rsidRPr="007826AC" w:rsidRDefault="005C735B" w:rsidP="005C735B">
      <w:pPr>
        <w:pStyle w:val="a3"/>
        <w:widowControl w:val="0"/>
        <w:numPr>
          <w:ilvl w:val="0"/>
          <w:numId w:val="4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 якою метою визначають фракційний склад палива?</w:t>
      </w:r>
    </w:p>
    <w:p w:rsidR="005C735B" w:rsidRPr="007826AC" w:rsidRDefault="005C735B" w:rsidP="005C735B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Які крапки фракційного состава бензину нормуються згідно ДСТУ 4063-2001?</w:t>
      </w:r>
    </w:p>
    <w:p w:rsidR="005C735B" w:rsidRPr="007826AC" w:rsidRDefault="005C735B" w:rsidP="005C735B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 впливає фракційний состав палива на режим роботи двиг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на?</w:t>
      </w:r>
    </w:p>
    <w:p w:rsidR="005C735B" w:rsidRPr="007826AC" w:rsidRDefault="005C735B" w:rsidP="005C735B">
      <w:pPr>
        <w:pStyle w:val="a3"/>
        <w:widowControl w:val="0"/>
        <w:numPr>
          <w:ilvl w:val="0"/>
          <w:numId w:val="4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Чому бензини різних видів відрізняються за своїм фракційним складом?</w:t>
      </w:r>
    </w:p>
    <w:p w:rsidR="005C735B" w:rsidRPr="007826AC" w:rsidRDefault="005C735B" w:rsidP="005C735B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 змінюється фракційний склад палива при зберіганні і як це позн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чається на роботі двигуна?</w:t>
      </w:r>
    </w:p>
    <w:p w:rsidR="005C735B" w:rsidRDefault="005C735B" w:rsidP="005C735B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 впливає фракційний состав на економічність двиг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на?</w:t>
      </w:r>
    </w:p>
    <w:p w:rsidR="001D28B4" w:rsidRPr="005C735B" w:rsidRDefault="005C735B">
      <w:pPr>
        <w:rPr>
          <w:lang w:val="uk-UA"/>
        </w:rPr>
      </w:pPr>
    </w:p>
    <w:sectPr w:rsidR="001D28B4" w:rsidRPr="005C735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6A3"/>
    <w:multiLevelType w:val="singleLevel"/>
    <w:tmpl w:val="05DC17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D3016"/>
    <w:multiLevelType w:val="hybridMultilevel"/>
    <w:tmpl w:val="116218C4"/>
    <w:lvl w:ilvl="0" w:tplc="CE82F3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87E1EC4"/>
    <w:multiLevelType w:val="hybridMultilevel"/>
    <w:tmpl w:val="098CBF74"/>
    <w:lvl w:ilvl="0" w:tplc="CE82F3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341962"/>
    <w:multiLevelType w:val="singleLevel"/>
    <w:tmpl w:val="DFECD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5B"/>
    <w:rsid w:val="005C735B"/>
    <w:rsid w:val="006E088C"/>
    <w:rsid w:val="00D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2A4A8-5384-4774-BCFE-19EFC800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5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C73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735B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735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C735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C735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C73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3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73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73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3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C73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C735B"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nhideWhenUsed/>
    <w:rsid w:val="005C735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C735B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5C735B"/>
    <w:pPr>
      <w:spacing w:after="120"/>
    </w:pPr>
  </w:style>
  <w:style w:type="character" w:customStyle="1" w:styleId="a6">
    <w:name w:val="Основной текст Знак"/>
    <w:basedOn w:val="a0"/>
    <w:link w:val="a5"/>
    <w:rsid w:val="005C735B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5C735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5C7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caption"/>
    <w:basedOn w:val="a"/>
    <w:next w:val="a"/>
    <w:qFormat/>
    <w:rsid w:val="005C735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5C735B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5C735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1803</Words>
  <Characters>10279</Characters>
  <Application>Microsoft Office Word</Application>
  <DocSecurity>0</DocSecurity>
  <Lines>85</Lines>
  <Paragraphs>24</Paragraphs>
  <ScaleCrop>false</ScaleCrop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2017-02-07T08:51:00Z</dcterms:created>
  <dcterms:modified xsi:type="dcterms:W3CDTF">2017-02-07T08:51:00Z</dcterms:modified>
</cp:coreProperties>
</file>