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D6" w:rsidRPr="007826AC" w:rsidRDefault="00E374D6" w:rsidP="00E374D6">
      <w:pPr>
        <w:pStyle w:val="a7"/>
        <w:widowControl w:val="0"/>
        <w:rPr>
          <w:b/>
          <w:sz w:val="36"/>
          <w:szCs w:val="32"/>
        </w:rPr>
      </w:pPr>
      <w:r>
        <w:rPr>
          <w:b/>
          <w:sz w:val="36"/>
          <w:szCs w:val="32"/>
          <w:lang w:val="uk-UA"/>
        </w:rPr>
        <w:t>Лабораторна робота № 6</w:t>
      </w:r>
      <w:r>
        <w:rPr>
          <w:b/>
          <w:sz w:val="36"/>
          <w:szCs w:val="32"/>
        </w:rPr>
        <w:t>8</w:t>
      </w:r>
    </w:p>
    <w:p w:rsidR="00E374D6" w:rsidRPr="007826AC" w:rsidRDefault="00E374D6" w:rsidP="00E374D6">
      <w:pPr>
        <w:pStyle w:val="a7"/>
        <w:widowControl w:val="0"/>
        <w:jc w:val="both"/>
        <w:rPr>
          <w:b/>
          <w:sz w:val="32"/>
          <w:szCs w:val="32"/>
          <w:lang w:val="uk-UA"/>
        </w:rPr>
      </w:pPr>
    </w:p>
    <w:p w:rsidR="00E374D6" w:rsidRDefault="00E374D6" w:rsidP="00E374D6">
      <w:pPr>
        <w:widowControl w:val="0"/>
        <w:spacing w:after="0" w:line="240" w:lineRule="auto"/>
        <w:jc w:val="center"/>
        <w:rPr>
          <w:rFonts w:ascii="Times New Roman" w:hAnsi="Times New Roman"/>
          <w:b/>
          <w:smallCaps/>
          <w:sz w:val="36"/>
          <w:szCs w:val="36"/>
          <w:lang w:val="uk-UA"/>
        </w:rPr>
      </w:pPr>
      <w:r>
        <w:rPr>
          <w:rFonts w:ascii="Times New Roman" w:hAnsi="Times New Roman"/>
          <w:b/>
          <w:smallCaps/>
          <w:sz w:val="36"/>
          <w:szCs w:val="36"/>
          <w:lang w:val="uk-UA"/>
        </w:rPr>
        <w:t>ДІАГНОСТУВАННЯ ЯК</w:t>
      </w:r>
      <w:r>
        <w:rPr>
          <w:rFonts w:ascii="Times New Roman" w:hAnsi="Times New Roman"/>
          <w:b/>
          <w:smallCaps/>
          <w:sz w:val="36"/>
          <w:szCs w:val="36"/>
          <w:lang w:val="uk-UA"/>
        </w:rPr>
        <w:t>О</w:t>
      </w:r>
      <w:r>
        <w:rPr>
          <w:rFonts w:ascii="Times New Roman" w:hAnsi="Times New Roman"/>
          <w:b/>
          <w:smallCaps/>
          <w:sz w:val="36"/>
          <w:szCs w:val="36"/>
          <w:lang w:val="uk-UA"/>
        </w:rPr>
        <w:t>СТІ ПАЛИВ І</w:t>
      </w:r>
    </w:p>
    <w:p w:rsidR="00E374D6" w:rsidRPr="007826AC" w:rsidRDefault="00E374D6" w:rsidP="00E374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7826AC">
        <w:rPr>
          <w:rFonts w:ascii="Times New Roman" w:hAnsi="Times New Roman"/>
          <w:b/>
          <w:smallCaps/>
          <w:sz w:val="36"/>
          <w:szCs w:val="36"/>
          <w:lang w:val="uk-UA"/>
        </w:rPr>
        <w:t xml:space="preserve">ВИЗНАЧЕННЯ </w:t>
      </w:r>
      <w:r w:rsidRPr="007826AC">
        <w:rPr>
          <w:rFonts w:ascii="Times New Roman" w:hAnsi="Times New Roman"/>
          <w:b/>
          <w:sz w:val="36"/>
          <w:szCs w:val="36"/>
          <w:lang w:val="uk-UA"/>
        </w:rPr>
        <w:t>ОКТАН</w:t>
      </w:r>
      <w:r w:rsidRPr="007826AC">
        <w:rPr>
          <w:rFonts w:ascii="Times New Roman" w:hAnsi="Times New Roman"/>
          <w:b/>
          <w:sz w:val="36"/>
          <w:szCs w:val="36"/>
          <w:lang w:val="uk-UA"/>
        </w:rPr>
        <w:t>О</w:t>
      </w:r>
      <w:r w:rsidRPr="007826AC">
        <w:rPr>
          <w:rFonts w:ascii="Times New Roman" w:hAnsi="Times New Roman"/>
          <w:b/>
          <w:sz w:val="36"/>
          <w:szCs w:val="36"/>
          <w:lang w:val="uk-UA"/>
        </w:rPr>
        <w:t>ВИХ ЧИСЕЛ</w:t>
      </w:r>
    </w:p>
    <w:p w:rsidR="00E374D6" w:rsidRPr="007826AC" w:rsidRDefault="00E374D6" w:rsidP="00E374D6">
      <w:pPr>
        <w:widowControl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E374D6" w:rsidRPr="007826AC" w:rsidRDefault="00E374D6" w:rsidP="00E374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7826AC"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E374D6" w:rsidRPr="007826AC" w:rsidRDefault="00E374D6" w:rsidP="00E374D6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374D6" w:rsidRPr="007826AC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Закріпити отримані теоретичні знання щодо детонаційної сті</w:t>
      </w:r>
      <w:r w:rsidRPr="007826AC">
        <w:rPr>
          <w:rFonts w:ascii="Times New Roman" w:hAnsi="Times New Roman"/>
          <w:sz w:val="32"/>
          <w:szCs w:val="32"/>
          <w:lang w:val="uk-UA"/>
        </w:rPr>
        <w:t>й</w:t>
      </w:r>
      <w:r w:rsidRPr="007826AC">
        <w:rPr>
          <w:rFonts w:ascii="Times New Roman" w:hAnsi="Times New Roman"/>
          <w:sz w:val="32"/>
          <w:szCs w:val="32"/>
          <w:lang w:val="uk-UA"/>
        </w:rPr>
        <w:t>кості автомобільних бензинів; ознайомитися з методами визн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чення октанових чисел бензинів на установці УИТ-65 і дати кількісну оц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нку по їхньому застосуванню для дв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гунів з відповідним ступенем стиску.</w:t>
      </w:r>
    </w:p>
    <w:p w:rsidR="00E374D6" w:rsidRPr="007826AC" w:rsidRDefault="00E374D6" w:rsidP="00E374D6">
      <w:pPr>
        <w:pStyle w:val="2"/>
        <w:keepNext w:val="0"/>
        <w:widowControl w:val="0"/>
        <w:ind w:firstLine="0"/>
        <w:jc w:val="both"/>
        <w:rPr>
          <w:sz w:val="32"/>
          <w:szCs w:val="32"/>
          <w:lang w:val="uk-UA"/>
        </w:rPr>
      </w:pPr>
    </w:p>
    <w:p w:rsidR="00E374D6" w:rsidRPr="007826AC" w:rsidRDefault="00E374D6" w:rsidP="00E374D6">
      <w:pPr>
        <w:pStyle w:val="2"/>
        <w:keepNext w:val="0"/>
        <w:widowControl w:val="0"/>
        <w:ind w:firstLine="0"/>
        <w:rPr>
          <w:sz w:val="36"/>
          <w:szCs w:val="36"/>
          <w:lang w:val="uk-UA"/>
        </w:rPr>
      </w:pPr>
      <w:r w:rsidRPr="007826AC">
        <w:rPr>
          <w:sz w:val="36"/>
          <w:szCs w:val="36"/>
          <w:lang w:val="uk-UA"/>
        </w:rPr>
        <w:t>Устаткування та матеріали</w:t>
      </w:r>
    </w:p>
    <w:p w:rsidR="00E374D6" w:rsidRPr="007826AC" w:rsidRDefault="00E374D6" w:rsidP="00E374D6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374D6" w:rsidRPr="007826AC" w:rsidRDefault="00E374D6" w:rsidP="00E374D6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Установка УИТ-65 з набором інструментів.</w:t>
      </w:r>
    </w:p>
    <w:p w:rsidR="00E374D6" w:rsidRPr="007826AC" w:rsidRDefault="00E374D6" w:rsidP="00E374D6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Барометр.</w:t>
      </w:r>
    </w:p>
    <w:p w:rsidR="00E374D6" w:rsidRPr="007826AC" w:rsidRDefault="00E374D6" w:rsidP="00E374D6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Колби мірні місткість 250, 500 і 1000 мл.</w:t>
      </w:r>
    </w:p>
    <w:p w:rsidR="00E374D6" w:rsidRPr="007826AC" w:rsidRDefault="00E374D6" w:rsidP="00E374D6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Бензин Б-70.</w:t>
      </w:r>
    </w:p>
    <w:p w:rsidR="00E374D6" w:rsidRPr="007826AC" w:rsidRDefault="00E374D6" w:rsidP="00E374D6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Контрольне паливо.</w:t>
      </w:r>
    </w:p>
    <w:p w:rsidR="00E374D6" w:rsidRPr="007826AC" w:rsidRDefault="00E374D6" w:rsidP="00E374D6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Еталонні палива.</w:t>
      </w:r>
    </w:p>
    <w:p w:rsidR="00E374D6" w:rsidRPr="007826AC" w:rsidRDefault="00E374D6" w:rsidP="00E374D6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Випробуваний бензин.</w:t>
      </w:r>
    </w:p>
    <w:p w:rsidR="00E374D6" w:rsidRPr="007826AC" w:rsidRDefault="00E374D6" w:rsidP="00E374D6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Обтиральний матеріал.</w:t>
      </w:r>
    </w:p>
    <w:p w:rsidR="00E374D6" w:rsidRPr="007826AC" w:rsidRDefault="00E374D6" w:rsidP="00E374D6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374D6" w:rsidRPr="007826AC" w:rsidRDefault="00E374D6" w:rsidP="00E374D6">
      <w:pPr>
        <w:pStyle w:val="4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7826AC">
        <w:rPr>
          <w:rFonts w:ascii="Times New Roman" w:hAnsi="Times New Roman"/>
          <w:sz w:val="36"/>
          <w:szCs w:val="36"/>
          <w:lang w:val="uk-UA"/>
        </w:rPr>
        <w:t>Зміст роботи</w:t>
      </w:r>
    </w:p>
    <w:p w:rsidR="00E374D6" w:rsidRPr="007826AC" w:rsidRDefault="00E374D6" w:rsidP="00E374D6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374D6" w:rsidRPr="007826AC" w:rsidRDefault="00E374D6" w:rsidP="00E374D6">
      <w:pPr>
        <w:pStyle w:val="a3"/>
        <w:widowControl w:val="0"/>
        <w:spacing w:after="0" w:line="240" w:lineRule="auto"/>
        <w:ind w:left="0" w:firstLine="709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Перед виконанням роботи необхідно:</w:t>
      </w:r>
    </w:p>
    <w:p w:rsidR="00E374D6" w:rsidRPr="007826AC" w:rsidRDefault="00E374D6" w:rsidP="00E374D6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вивчити рекомендовану літературу звернувши увагу на власт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вості палива, які забе</w:t>
      </w:r>
      <w:r w:rsidRPr="007826AC">
        <w:rPr>
          <w:rFonts w:ascii="Times New Roman" w:hAnsi="Times New Roman"/>
          <w:sz w:val="32"/>
          <w:szCs w:val="32"/>
          <w:lang w:val="uk-UA"/>
        </w:rPr>
        <w:t>з</w:t>
      </w:r>
      <w:r w:rsidRPr="007826AC">
        <w:rPr>
          <w:rFonts w:ascii="Times New Roman" w:hAnsi="Times New Roman"/>
          <w:sz w:val="32"/>
          <w:szCs w:val="32"/>
          <w:lang w:val="uk-UA"/>
        </w:rPr>
        <w:t>печують безвідмовну роботу двигуна;</w:t>
      </w:r>
    </w:p>
    <w:p w:rsidR="00E374D6" w:rsidRPr="007826AC" w:rsidRDefault="00E374D6" w:rsidP="00E374D6">
      <w:pPr>
        <w:pStyle w:val="a5"/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ознайомитися із призначенням, пристроєм і принципом дії установки УИТ-65 (рис.</w:t>
      </w:r>
      <w:r>
        <w:rPr>
          <w:rFonts w:ascii="Times New Roman" w:hAnsi="Times New Roman"/>
          <w:sz w:val="32"/>
          <w:szCs w:val="32"/>
          <w:lang w:val="uk-UA"/>
        </w:rPr>
        <w:t>68</w:t>
      </w:r>
      <w:r w:rsidRPr="007826AC">
        <w:rPr>
          <w:rFonts w:ascii="Times New Roman" w:hAnsi="Times New Roman"/>
          <w:sz w:val="32"/>
          <w:szCs w:val="32"/>
          <w:lang w:val="uk-UA"/>
        </w:rPr>
        <w:t>.1), що являє собою одноциліндровий двигун зі змі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>ним ступенем стиску;</w:t>
      </w:r>
    </w:p>
    <w:p w:rsidR="00E374D6" w:rsidRPr="007826AC" w:rsidRDefault="00E374D6" w:rsidP="00E374D6">
      <w:pPr>
        <w:pStyle w:val="a3"/>
        <w:widowControl w:val="0"/>
        <w:numPr>
          <w:ilvl w:val="0"/>
          <w:numId w:val="2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вивчити режими й умови 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пробувань.</w:t>
      </w:r>
    </w:p>
    <w:p w:rsidR="00E374D6" w:rsidRPr="007826AC" w:rsidRDefault="00E374D6" w:rsidP="00E374D6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Завдання роботи:</w:t>
      </w:r>
    </w:p>
    <w:p w:rsidR="00E374D6" w:rsidRPr="007826AC" w:rsidRDefault="00E374D6" w:rsidP="00E374D6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підготувати установку до роботи та визначити октанове число бенз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ну за допомогою моторного й дослідницького методів, що ґрунтуються на порівнянні детонаційної стійкості </w:t>
      </w:r>
      <w:r w:rsidRPr="007826AC">
        <w:rPr>
          <w:rFonts w:ascii="Times New Roman" w:hAnsi="Times New Roman"/>
          <w:sz w:val="32"/>
          <w:szCs w:val="32"/>
          <w:lang w:val="uk-UA"/>
        </w:rPr>
        <w:lastRenderedPageBreak/>
        <w:t>випробуван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го й еталонного палив, зіставити отримані результати досл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джень із нормативними дан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ми ДСТУ 4063-2001 або ДСТУ 4839-2007;</w:t>
      </w:r>
    </w:p>
    <w:p w:rsidR="00E374D6" w:rsidRDefault="00E374D6" w:rsidP="00E374D6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визначити марку випробуваного бензину, зазначивши, для дв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гунів яких автомобілів можна застосовувати д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ний вид палива.</w:t>
      </w:r>
    </w:p>
    <w:p w:rsidR="00E374D6" w:rsidRDefault="00E374D6" w:rsidP="00E374D6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374D6" w:rsidRPr="007826AC" w:rsidRDefault="00E374D6" w:rsidP="00E374D6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298950" cy="2909570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7" t="34006" r="20488" b="21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4D6" w:rsidRPr="00CA5FF9" w:rsidRDefault="00E374D6" w:rsidP="00E374D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374D6" w:rsidRDefault="00E374D6" w:rsidP="00E374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Рис.68</w:t>
      </w:r>
      <w:r w:rsidRPr="007826AC">
        <w:rPr>
          <w:rFonts w:ascii="Times New Roman" w:hAnsi="Times New Roman"/>
          <w:sz w:val="28"/>
          <w:szCs w:val="28"/>
          <w:lang w:val="uk-UA"/>
        </w:rPr>
        <w:t>.1. Панель приладів установки УИТ-65: 1</w:t>
      </w:r>
      <w:r>
        <w:rPr>
          <w:rFonts w:ascii="Times New Roman" w:hAnsi="Times New Roman"/>
          <w:sz w:val="28"/>
          <w:szCs w:val="28"/>
          <w:lang w:val="uk-UA"/>
        </w:rPr>
        <w:t xml:space="preserve"> – детонометр ДП-60;</w:t>
      </w:r>
    </w:p>
    <w:p w:rsidR="00E374D6" w:rsidRDefault="00E374D6" w:rsidP="00E374D6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 – </w:t>
      </w:r>
      <w:r w:rsidRPr="007826AC">
        <w:rPr>
          <w:rFonts w:ascii="Times New Roman" w:hAnsi="Times New Roman"/>
          <w:sz w:val="28"/>
          <w:szCs w:val="28"/>
          <w:lang w:val="uk-UA"/>
        </w:rPr>
        <w:t>вмикач «Запалювання»; 3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7826AC">
        <w:rPr>
          <w:rFonts w:ascii="Times New Roman" w:hAnsi="Times New Roman"/>
          <w:sz w:val="28"/>
          <w:szCs w:val="28"/>
          <w:lang w:val="uk-UA"/>
        </w:rPr>
        <w:t>вольтметр; 4</w:t>
      </w:r>
      <w:r>
        <w:rPr>
          <w:rFonts w:ascii="Times New Roman" w:hAnsi="Times New Roman"/>
          <w:sz w:val="28"/>
          <w:szCs w:val="28"/>
          <w:lang w:val="uk-UA"/>
        </w:rPr>
        <w:t xml:space="preserve"> – перемикач піді</w:t>
      </w:r>
      <w:r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ріву повітря;</w:t>
      </w:r>
    </w:p>
    <w:p w:rsidR="00E374D6" w:rsidRPr="00FC7E54" w:rsidRDefault="00E374D6" w:rsidP="00E374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C7E54">
        <w:rPr>
          <w:rFonts w:ascii="Times New Roman" w:hAnsi="Times New Roman"/>
          <w:sz w:val="28"/>
          <w:szCs w:val="28"/>
          <w:lang w:val="uk-UA"/>
        </w:rPr>
        <w:t>5 – регулятор температури підігріву повітря; 6 – манометр тиску масла; 7,10 – амперметри; 8 – детонометр; 9 – контрольна лампа; 11 – покажчик темпер</w:t>
      </w:r>
      <w:r w:rsidRPr="00FC7E54">
        <w:rPr>
          <w:rFonts w:ascii="Times New Roman" w:hAnsi="Times New Roman"/>
          <w:sz w:val="28"/>
          <w:szCs w:val="28"/>
          <w:lang w:val="uk-UA"/>
        </w:rPr>
        <w:t>а</w:t>
      </w:r>
      <w:r w:rsidRPr="00FC7E54">
        <w:rPr>
          <w:rFonts w:ascii="Times New Roman" w:hAnsi="Times New Roman"/>
          <w:sz w:val="28"/>
          <w:szCs w:val="28"/>
          <w:lang w:val="uk-UA"/>
        </w:rPr>
        <w:t>тури масла;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E54">
        <w:rPr>
          <w:rFonts w:ascii="Times New Roman" w:hAnsi="Times New Roman"/>
          <w:sz w:val="28"/>
          <w:szCs w:val="28"/>
          <w:lang w:val="uk-UA"/>
        </w:rPr>
        <w:t>12 – регулятор підігріву суміші; 13 – перемикач підігріву с</w:t>
      </w:r>
      <w:r w:rsidRPr="00FC7E54">
        <w:rPr>
          <w:rFonts w:ascii="Times New Roman" w:hAnsi="Times New Roman"/>
          <w:sz w:val="28"/>
          <w:szCs w:val="28"/>
          <w:lang w:val="uk-UA"/>
        </w:rPr>
        <w:t>у</w:t>
      </w:r>
      <w:r w:rsidRPr="00FC7E54">
        <w:rPr>
          <w:rFonts w:ascii="Times New Roman" w:hAnsi="Times New Roman"/>
          <w:sz w:val="28"/>
          <w:szCs w:val="28"/>
          <w:lang w:val="uk-UA"/>
        </w:rPr>
        <w:t>міші; 14 – кнопка «Пуск»; 15 – кнопка «Стоп»; 16 – вмикач підігр</w:t>
      </w:r>
      <w:r w:rsidRPr="00FC7E54">
        <w:rPr>
          <w:rFonts w:ascii="Times New Roman" w:hAnsi="Times New Roman"/>
          <w:sz w:val="28"/>
          <w:szCs w:val="28"/>
          <w:lang w:val="uk-UA"/>
        </w:rPr>
        <w:t>і</w:t>
      </w:r>
      <w:r w:rsidRPr="00FC7E54">
        <w:rPr>
          <w:rFonts w:ascii="Times New Roman" w:hAnsi="Times New Roman"/>
          <w:sz w:val="28"/>
          <w:szCs w:val="28"/>
          <w:lang w:val="uk-UA"/>
        </w:rPr>
        <w:t>ву масла; 17, 18, 19, 20 – лампи індикації включення; 21, 22 – діагностичні рознімання; 23 – ручка грубого регулювання; 24 – ручка точного регулювання; 25 – пер</w:t>
      </w:r>
      <w:r w:rsidRPr="00FC7E54">
        <w:rPr>
          <w:rFonts w:ascii="Times New Roman" w:hAnsi="Times New Roman"/>
          <w:sz w:val="28"/>
          <w:szCs w:val="28"/>
          <w:lang w:val="uk-UA"/>
        </w:rPr>
        <w:t>е</w:t>
      </w:r>
      <w:r w:rsidRPr="00FC7E54">
        <w:rPr>
          <w:rFonts w:ascii="Times New Roman" w:hAnsi="Times New Roman"/>
          <w:sz w:val="28"/>
          <w:szCs w:val="28"/>
          <w:lang w:val="uk-UA"/>
        </w:rPr>
        <w:t xml:space="preserve">микач «Постійна часу»; 26 – </w:t>
      </w:r>
      <w:r>
        <w:rPr>
          <w:rFonts w:ascii="Times New Roman" w:hAnsi="Times New Roman"/>
          <w:sz w:val="28"/>
          <w:szCs w:val="28"/>
          <w:lang w:val="uk-UA"/>
        </w:rPr>
        <w:t xml:space="preserve">перемикач «Діапазон»; </w:t>
      </w:r>
      <w:r w:rsidRPr="00FC7E54">
        <w:rPr>
          <w:rFonts w:ascii="Times New Roman" w:hAnsi="Times New Roman"/>
          <w:sz w:val="28"/>
          <w:szCs w:val="28"/>
          <w:lang w:val="uk-UA"/>
        </w:rPr>
        <w:t>27 – тумблер «Мережа»; 28 – тумблер «УД»</w:t>
      </w:r>
    </w:p>
    <w:p w:rsidR="00E374D6" w:rsidRPr="00CA5FF9" w:rsidRDefault="00E374D6" w:rsidP="00E374D6">
      <w:pPr>
        <w:pStyle w:val="a3"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E374D6" w:rsidRDefault="00E374D6" w:rsidP="00E374D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Перед виконанням роботи підготувати у витяжній шафі кон</w:t>
      </w:r>
      <w:r w:rsidRPr="007826AC">
        <w:rPr>
          <w:rFonts w:ascii="Times New Roman" w:hAnsi="Times New Roman"/>
          <w:sz w:val="32"/>
          <w:szCs w:val="32"/>
          <w:lang w:val="uk-UA"/>
        </w:rPr>
        <w:t>т</w:t>
      </w:r>
      <w:r w:rsidRPr="007826AC">
        <w:rPr>
          <w:rFonts w:ascii="Times New Roman" w:hAnsi="Times New Roman"/>
          <w:sz w:val="32"/>
          <w:szCs w:val="32"/>
          <w:lang w:val="uk-UA"/>
        </w:rPr>
        <w:t>рольне паливо (табл.</w:t>
      </w:r>
      <w:r>
        <w:rPr>
          <w:rFonts w:ascii="Times New Roman" w:hAnsi="Times New Roman"/>
          <w:sz w:val="32"/>
          <w:szCs w:val="32"/>
          <w:lang w:val="uk-UA"/>
        </w:rPr>
        <w:t>68</w:t>
      </w:r>
      <w:r w:rsidRPr="007826AC">
        <w:rPr>
          <w:rFonts w:ascii="Times New Roman" w:hAnsi="Times New Roman"/>
          <w:sz w:val="32"/>
          <w:szCs w:val="32"/>
          <w:lang w:val="uk-UA"/>
        </w:rPr>
        <w:t>.1) з номінальним октановим числом, близ</w:t>
      </w:r>
      <w:r w:rsidRPr="007826AC">
        <w:rPr>
          <w:rFonts w:ascii="Times New Roman" w:hAnsi="Times New Roman"/>
          <w:sz w:val="32"/>
          <w:szCs w:val="32"/>
          <w:lang w:val="uk-UA"/>
        </w:rPr>
        <w:t>ь</w:t>
      </w:r>
      <w:r w:rsidRPr="007826AC">
        <w:rPr>
          <w:rFonts w:ascii="Times New Roman" w:hAnsi="Times New Roman"/>
          <w:sz w:val="32"/>
          <w:szCs w:val="32"/>
          <w:lang w:val="uk-UA"/>
        </w:rPr>
        <w:t>ким до пере</w:t>
      </w:r>
      <w:r w:rsidRPr="007826AC">
        <w:rPr>
          <w:rFonts w:ascii="Times New Roman" w:hAnsi="Times New Roman"/>
          <w:sz w:val="32"/>
          <w:szCs w:val="32"/>
          <w:lang w:val="uk-UA"/>
        </w:rPr>
        <w:t>д</w:t>
      </w:r>
      <w:r w:rsidRPr="007826AC">
        <w:rPr>
          <w:rFonts w:ascii="Times New Roman" w:hAnsi="Times New Roman"/>
          <w:sz w:val="32"/>
          <w:szCs w:val="32"/>
          <w:lang w:val="uk-UA"/>
        </w:rPr>
        <w:t>бачуваного октановому числу палива, призначеного до випробування. Приготувати два еталонних палива прямим зміш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ванням н-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гептана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(ГОСТ 25828) і ізооктану (ГОСТ 12433), що відр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зняються на дві октанові одиниці. </w:t>
      </w:r>
    </w:p>
    <w:p w:rsidR="00E374D6" w:rsidRDefault="00E374D6" w:rsidP="00E374D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Наприклад, якщо передбачуване октанове число досліджув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ного палива дорівнює 76, слід контрольне паливо обирати з ОЧ = 76,9, а дві еталонні с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міші з ОЧ = 76 і ОЧ = 78. </w:t>
      </w:r>
    </w:p>
    <w:p w:rsidR="00E374D6" w:rsidRPr="00641DCE" w:rsidRDefault="00E374D6" w:rsidP="00E374D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374D6" w:rsidRPr="007826AC" w:rsidRDefault="00E374D6" w:rsidP="00E374D6">
      <w:pPr>
        <w:pStyle w:val="2"/>
        <w:keepNext w:val="0"/>
        <w:widowControl w:val="0"/>
        <w:ind w:firstLine="0"/>
        <w:rPr>
          <w:sz w:val="36"/>
          <w:szCs w:val="36"/>
          <w:lang w:val="uk-UA"/>
        </w:rPr>
      </w:pPr>
      <w:r w:rsidRPr="007826AC">
        <w:rPr>
          <w:sz w:val="36"/>
          <w:szCs w:val="36"/>
          <w:lang w:val="uk-UA"/>
        </w:rPr>
        <w:lastRenderedPageBreak/>
        <w:t>Перевірка установки УИТ-65 по контрольному п</w:t>
      </w:r>
      <w:r w:rsidRPr="007826AC">
        <w:rPr>
          <w:sz w:val="36"/>
          <w:szCs w:val="36"/>
          <w:lang w:val="uk-UA"/>
        </w:rPr>
        <w:t>а</w:t>
      </w:r>
      <w:r w:rsidRPr="007826AC">
        <w:rPr>
          <w:sz w:val="36"/>
          <w:szCs w:val="36"/>
          <w:lang w:val="uk-UA"/>
        </w:rPr>
        <w:t>ливу</w:t>
      </w:r>
    </w:p>
    <w:p w:rsidR="00E374D6" w:rsidRPr="007C0838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374D6" w:rsidRPr="007826AC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Установку перевірити по контрольному паливу, виготовлен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му згідно табл.</w:t>
      </w:r>
      <w:r>
        <w:rPr>
          <w:rFonts w:ascii="Times New Roman" w:hAnsi="Times New Roman"/>
          <w:sz w:val="32"/>
          <w:szCs w:val="32"/>
          <w:lang w:val="uk-UA"/>
        </w:rPr>
        <w:t>68</w:t>
      </w:r>
      <w:r w:rsidRPr="007826AC">
        <w:rPr>
          <w:rFonts w:ascii="Times New Roman" w:hAnsi="Times New Roman"/>
          <w:sz w:val="32"/>
          <w:szCs w:val="32"/>
          <w:lang w:val="uk-UA"/>
        </w:rPr>
        <w:t>.1. З паливного бачка злити бензин Б-70, що вик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ристовується для прогріву двигуна і залити кон</w:t>
      </w:r>
      <w:r w:rsidRPr="007826AC">
        <w:rPr>
          <w:rFonts w:ascii="Times New Roman" w:hAnsi="Times New Roman"/>
          <w:sz w:val="32"/>
          <w:szCs w:val="32"/>
          <w:lang w:val="uk-UA"/>
        </w:rPr>
        <w:t>т</w:t>
      </w:r>
      <w:r w:rsidRPr="007826AC">
        <w:rPr>
          <w:rFonts w:ascii="Times New Roman" w:hAnsi="Times New Roman"/>
          <w:sz w:val="32"/>
          <w:szCs w:val="32"/>
          <w:lang w:val="uk-UA"/>
        </w:rPr>
        <w:t>рольне паливо.</w:t>
      </w:r>
    </w:p>
    <w:p w:rsidR="00E374D6" w:rsidRPr="007826AC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Перевести голку карбюратора відповідно в кожне з положень «1,2,3» і відрегулювати рівень палива в паливних б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чках 1, 2, і 3 по мірному склу поплавкової камери.</w:t>
      </w:r>
    </w:p>
    <w:p w:rsidR="00E374D6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Виставивши рівень контрольного палива на максимальну інт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нсивність детонації, зміною ступеня стиску довести показання п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кажчика детонації до 55 ± 3 розподілів, записавши показники інд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катора ступеня стиску. </w:t>
      </w:r>
    </w:p>
    <w:p w:rsidR="00E374D6" w:rsidRPr="00A60E6A" w:rsidRDefault="00E374D6" w:rsidP="00E374D6">
      <w:pPr>
        <w:pStyle w:val="9"/>
        <w:widowControl w:val="0"/>
        <w:spacing w:before="0" w:after="0" w:line="240" w:lineRule="auto"/>
        <w:ind w:left="851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A60E6A">
        <w:rPr>
          <w:rFonts w:ascii="Times New Roman" w:hAnsi="Times New Roman"/>
          <w:i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/>
          <w:i/>
          <w:sz w:val="28"/>
          <w:szCs w:val="28"/>
          <w:lang w:val="uk-UA"/>
        </w:rPr>
        <w:t>68</w:t>
      </w:r>
      <w:r w:rsidRPr="00A60E6A">
        <w:rPr>
          <w:rFonts w:ascii="Times New Roman" w:hAnsi="Times New Roman"/>
          <w:i/>
          <w:sz w:val="28"/>
          <w:szCs w:val="28"/>
          <w:lang w:val="uk-UA"/>
        </w:rPr>
        <w:t>.1</w:t>
      </w:r>
    </w:p>
    <w:p w:rsidR="00E374D6" w:rsidRDefault="00E374D6" w:rsidP="00E374D6">
      <w:pPr>
        <w:pStyle w:val="2"/>
        <w:keepNext w:val="0"/>
        <w:widowControl w:val="0"/>
        <w:rPr>
          <w:szCs w:val="28"/>
          <w:lang w:val="uk-UA"/>
        </w:rPr>
      </w:pPr>
      <w:r w:rsidRPr="00A60E6A">
        <w:rPr>
          <w:szCs w:val="28"/>
          <w:lang w:val="uk-UA"/>
        </w:rPr>
        <w:t>Методи визначення октанових чисел</w:t>
      </w:r>
    </w:p>
    <w:p w:rsidR="00E374D6" w:rsidRPr="00641DCE" w:rsidRDefault="00E374D6" w:rsidP="00E374D6">
      <w:pPr>
        <w:rPr>
          <w:sz w:val="16"/>
          <w:szCs w:val="16"/>
          <w:lang w:val="uk-UA" w:eastAsia="ru-RU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2694"/>
        <w:gridCol w:w="1559"/>
      </w:tblGrid>
      <w:tr w:rsidR="00E374D6" w:rsidRPr="00A60E6A" w:rsidTr="00F95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1" w:type="dxa"/>
          </w:tcPr>
          <w:p w:rsidR="00E374D6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Режим випробувань</w:t>
            </w:r>
          </w:p>
        </w:tc>
        <w:tc>
          <w:tcPr>
            <w:tcW w:w="2694" w:type="dxa"/>
          </w:tcPr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Моторний 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метод</w:t>
            </w:r>
          </w:p>
        </w:tc>
        <w:tc>
          <w:tcPr>
            <w:tcW w:w="1559" w:type="dxa"/>
          </w:tcPr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Дослідн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цький м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тод</w:t>
            </w:r>
          </w:p>
        </w:tc>
      </w:tr>
      <w:tr w:rsidR="00E374D6" w:rsidRPr="00A60E6A" w:rsidTr="00F95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1" w:type="dxa"/>
          </w:tcPr>
          <w:p w:rsidR="00E374D6" w:rsidRPr="00A60E6A" w:rsidRDefault="00E374D6" w:rsidP="00F95582">
            <w:pPr>
              <w:widowControl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Частота обертання колінч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того </w:t>
            </w:r>
            <w:proofErr w:type="spellStart"/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вала</w:t>
            </w:r>
            <w:proofErr w:type="spellEnd"/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, хв</w:t>
            </w:r>
            <w:r w:rsidRPr="00A60E6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-1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Кут випередження запал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вання, град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Проміжок поміж між електродами свічки, мм</w:t>
            </w:r>
          </w:p>
        </w:tc>
        <w:tc>
          <w:tcPr>
            <w:tcW w:w="2694" w:type="dxa"/>
          </w:tcPr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900±9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змінний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ind w:right="-20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Pr="00A60E6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º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 ст. сти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ку 5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ind w:right="-20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A60E6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º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 ст. сти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ку 7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0,5±0,1</w:t>
            </w:r>
          </w:p>
        </w:tc>
        <w:tc>
          <w:tcPr>
            <w:tcW w:w="1559" w:type="dxa"/>
          </w:tcPr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600±6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пості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ний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A60E6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º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0,5±0,1</w:t>
            </w:r>
          </w:p>
        </w:tc>
      </w:tr>
      <w:tr w:rsidR="00E374D6" w:rsidRPr="007826AC" w:rsidTr="00F95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1" w:type="dxa"/>
          </w:tcPr>
          <w:p w:rsidR="00E374D6" w:rsidRPr="007826AC" w:rsidRDefault="00E374D6" w:rsidP="00F95582">
            <w:pPr>
              <w:widowControl w:val="0"/>
              <w:spacing w:after="0" w:line="240" w:lineRule="auto"/>
              <w:ind w:right="176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Проміжок поміж контактами пер</w:t>
            </w: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ривника, мм</w:t>
            </w:r>
          </w:p>
          <w:p w:rsidR="00E374D6" w:rsidRPr="007826AC" w:rsidRDefault="00E374D6" w:rsidP="00F95582">
            <w:pPr>
              <w:widowControl w:val="0"/>
              <w:spacing w:after="0" w:line="240" w:lineRule="auto"/>
              <w:ind w:right="176" w:firstLine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Тиск масла, </w:t>
            </w:r>
            <w:proofErr w:type="spellStart"/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Мпа</w:t>
            </w:r>
            <w:proofErr w:type="spellEnd"/>
          </w:p>
          <w:p w:rsidR="00E374D6" w:rsidRPr="007826AC" w:rsidRDefault="00E374D6" w:rsidP="00F95582">
            <w:pPr>
              <w:widowControl w:val="0"/>
              <w:spacing w:after="0" w:line="240" w:lineRule="auto"/>
              <w:ind w:left="176" w:right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Проміжок поміж штоками й кор</w:t>
            </w: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мислами клапанів, мм</w:t>
            </w:r>
          </w:p>
          <w:p w:rsidR="00E374D6" w:rsidRPr="007826AC" w:rsidRDefault="00E374D6" w:rsidP="00F95582">
            <w:pPr>
              <w:widowControl w:val="0"/>
              <w:spacing w:after="0" w:line="240" w:lineRule="auto"/>
              <w:ind w:left="176" w:right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Температура масла в ка</w:t>
            </w: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тері, </w:t>
            </w:r>
            <w:proofErr w:type="spellStart"/>
            <w:r w:rsidRPr="007826A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о</w:t>
            </w: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proofErr w:type="spellEnd"/>
          </w:p>
          <w:p w:rsidR="00E374D6" w:rsidRPr="007826AC" w:rsidRDefault="00E374D6" w:rsidP="00F95582">
            <w:pPr>
              <w:widowControl w:val="0"/>
              <w:spacing w:after="0" w:line="240" w:lineRule="auto"/>
              <w:ind w:left="176" w:right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Температура охолодної рідини, </w:t>
            </w:r>
            <w:proofErr w:type="spellStart"/>
            <w:r w:rsidRPr="007826A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о</w:t>
            </w: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proofErr w:type="spellEnd"/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E374D6" w:rsidRPr="007826AC" w:rsidRDefault="00E374D6" w:rsidP="00F95582">
            <w:pPr>
              <w:widowControl w:val="0"/>
              <w:spacing w:after="0" w:line="240" w:lineRule="auto"/>
              <w:ind w:left="176" w:right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Температура повітря, що надходить у карбюратор, </w:t>
            </w:r>
            <w:proofErr w:type="spellStart"/>
            <w:r w:rsidRPr="007826A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о</w:t>
            </w: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proofErr w:type="spellEnd"/>
            <w:r w:rsidRPr="007826A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</w:p>
          <w:p w:rsidR="00E374D6" w:rsidRPr="007826AC" w:rsidRDefault="00E374D6" w:rsidP="00F95582">
            <w:pPr>
              <w:widowControl w:val="0"/>
              <w:spacing w:after="0" w:line="240" w:lineRule="auto"/>
              <w:ind w:left="176" w:right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Температура </w:t>
            </w:r>
            <w:proofErr w:type="spellStart"/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паливоповітряної</w:t>
            </w:r>
            <w:proofErr w:type="spellEnd"/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</w:t>
            </w: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міші, </w:t>
            </w:r>
            <w:proofErr w:type="spellStart"/>
            <w:r w:rsidRPr="007826A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о</w:t>
            </w: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proofErr w:type="spellEnd"/>
            <w:r w:rsidRPr="007826A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E374D6" w:rsidRPr="007826AC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374D6" w:rsidRPr="007826AC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0,30±0,05</w:t>
            </w:r>
          </w:p>
          <w:p w:rsidR="00E374D6" w:rsidRPr="007826AC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0,196±0,03</w:t>
            </w:r>
          </w:p>
          <w:p w:rsidR="00E374D6" w:rsidRPr="007826AC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374D6" w:rsidRPr="007826AC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0,20±0,05</w:t>
            </w:r>
          </w:p>
          <w:p w:rsidR="00E374D6" w:rsidRPr="007826AC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333±10</w:t>
            </w:r>
          </w:p>
          <w:p w:rsidR="00E374D6" w:rsidRPr="007826AC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100±2</w:t>
            </w:r>
          </w:p>
          <w:p w:rsidR="00E374D6" w:rsidRPr="007826AC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374D6" w:rsidRPr="007826AC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50±5</w:t>
            </w:r>
          </w:p>
          <w:p w:rsidR="00E374D6" w:rsidRPr="007826AC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374D6" w:rsidRPr="007826AC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149±1</w:t>
            </w:r>
          </w:p>
        </w:tc>
        <w:tc>
          <w:tcPr>
            <w:tcW w:w="1559" w:type="dxa"/>
          </w:tcPr>
          <w:p w:rsidR="00E374D6" w:rsidRPr="007826AC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374D6" w:rsidRPr="007826AC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0,30±0,05</w:t>
            </w:r>
          </w:p>
          <w:p w:rsidR="00E374D6" w:rsidRPr="007826AC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0,196±0,03</w:t>
            </w:r>
          </w:p>
          <w:p w:rsidR="00E374D6" w:rsidRPr="007826AC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374D6" w:rsidRPr="007826AC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0,20±0,05</w:t>
            </w:r>
          </w:p>
          <w:p w:rsidR="00E374D6" w:rsidRPr="007826AC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333±10</w:t>
            </w:r>
          </w:p>
          <w:p w:rsidR="00E374D6" w:rsidRPr="007826AC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100±2</w:t>
            </w:r>
          </w:p>
          <w:p w:rsidR="00E374D6" w:rsidRPr="007826AC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374D6" w:rsidRPr="007826AC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50±5</w:t>
            </w:r>
          </w:p>
          <w:p w:rsidR="00E374D6" w:rsidRPr="007826AC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374D6" w:rsidRPr="007826AC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 </w:t>
            </w:r>
            <w:proofErr w:type="spellStart"/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підігрі-вається</w:t>
            </w:r>
            <w:proofErr w:type="spellEnd"/>
          </w:p>
        </w:tc>
      </w:tr>
    </w:tbl>
    <w:p w:rsidR="00E374D6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374D6" w:rsidRPr="007826AC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Отримана при цьому ступінь стиску залишається незмі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>ною в плині всього наступного випроб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вання контрольного палива. За для перевірки правильності виставлення ступеня стиску на стандартну інтенсивність детонації потрібно вимкнути запалювання. Якщо дв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гун при цьому миттєво зупиниться, то установка підготовлена до проведення випробування палива. Після прогріву й регулювання р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вня палива приступити до визначення ступеня детонації під час </w:t>
      </w:r>
      <w:r w:rsidRPr="007826AC">
        <w:rPr>
          <w:rFonts w:ascii="Times New Roman" w:hAnsi="Times New Roman"/>
          <w:sz w:val="32"/>
          <w:szCs w:val="32"/>
          <w:lang w:val="uk-UA"/>
        </w:rPr>
        <w:lastRenderedPageBreak/>
        <w:t>р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боти установки на контрольному й еталонному паливах. Вистави</w:t>
      </w:r>
      <w:r w:rsidRPr="007826AC">
        <w:rPr>
          <w:rFonts w:ascii="Times New Roman" w:hAnsi="Times New Roman"/>
          <w:sz w:val="32"/>
          <w:szCs w:val="32"/>
          <w:lang w:val="uk-UA"/>
        </w:rPr>
        <w:t>в</w:t>
      </w:r>
      <w:r w:rsidRPr="007826AC">
        <w:rPr>
          <w:rFonts w:ascii="Times New Roman" w:hAnsi="Times New Roman"/>
          <w:sz w:val="32"/>
          <w:szCs w:val="32"/>
          <w:lang w:val="uk-UA"/>
        </w:rPr>
        <w:t>ши поворотом маховичка кран карбюрат</w:t>
      </w:r>
      <w:r>
        <w:rPr>
          <w:rFonts w:ascii="Times New Roman" w:hAnsi="Times New Roman"/>
          <w:sz w:val="32"/>
          <w:szCs w:val="32"/>
          <w:lang w:val="uk-UA"/>
        </w:rPr>
        <w:t>ора у відповідне положе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 xml:space="preserve">ня: «1» – контрольне паливо; «2» – 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еталонне паливо №1; «3» </w:t>
      </w:r>
      <w:r>
        <w:rPr>
          <w:rFonts w:ascii="Times New Roman" w:hAnsi="Times New Roman"/>
          <w:sz w:val="32"/>
          <w:szCs w:val="32"/>
          <w:lang w:val="uk-UA"/>
        </w:rPr>
        <w:t xml:space="preserve">– </w:t>
      </w:r>
      <w:r w:rsidRPr="007826AC">
        <w:rPr>
          <w:rFonts w:ascii="Times New Roman" w:hAnsi="Times New Roman"/>
          <w:sz w:val="32"/>
          <w:szCs w:val="32"/>
          <w:lang w:val="uk-UA"/>
        </w:rPr>
        <w:t>ет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лонне паливо №2 і вмикаючи тумблер «Датчик УД», зафіксувати максимальне відхилення стрі</w:t>
      </w:r>
      <w:r w:rsidRPr="007826AC">
        <w:rPr>
          <w:rFonts w:ascii="Times New Roman" w:hAnsi="Times New Roman"/>
          <w:sz w:val="32"/>
          <w:szCs w:val="32"/>
          <w:lang w:val="uk-UA"/>
        </w:rPr>
        <w:t>л</w:t>
      </w:r>
      <w:r w:rsidRPr="007826AC">
        <w:rPr>
          <w:rFonts w:ascii="Times New Roman" w:hAnsi="Times New Roman"/>
          <w:sz w:val="32"/>
          <w:szCs w:val="32"/>
          <w:lang w:val="uk-UA"/>
        </w:rPr>
        <w:t>ки.</w:t>
      </w:r>
    </w:p>
    <w:p w:rsidR="00E374D6" w:rsidRPr="007826AC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За отриманим значенням рівнів детонації на відповідних пал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вах розрахувати октанове число контрольного палива за форм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лою 1.Установка здатна до подальшого випробування, якщо отримане октанове число контрольного палива відповідає зазнач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ному в </w:t>
      </w:r>
      <w:r>
        <w:rPr>
          <w:rFonts w:ascii="Times New Roman" w:hAnsi="Times New Roman"/>
          <w:sz w:val="32"/>
          <w:szCs w:val="32"/>
          <w:lang w:val="uk-UA"/>
        </w:rPr>
        <w:t>табл. 68</w:t>
      </w:r>
      <w:r w:rsidRPr="007826AC">
        <w:rPr>
          <w:rFonts w:ascii="Times New Roman" w:hAnsi="Times New Roman"/>
          <w:sz w:val="32"/>
          <w:szCs w:val="32"/>
          <w:lang w:val="uk-UA"/>
        </w:rPr>
        <w:t>.2.</w:t>
      </w:r>
    </w:p>
    <w:p w:rsidR="00E374D6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Якщо відхилення октанового числа контрольного палива пер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вищує </w:t>
      </w:r>
      <w:r w:rsidRPr="007826AC">
        <w:rPr>
          <w:rFonts w:ascii="Times New Roman" w:hAnsi="Times New Roman"/>
          <w:sz w:val="32"/>
          <w:szCs w:val="32"/>
          <w:lang w:val="uk-UA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.35pt;height:16.85pt" o:ole="" fillcolor="window">
            <v:imagedata r:id="rId6" o:title=""/>
          </v:shape>
          <o:OLEObject Type="Embed" ProgID="Equation.3" ShapeID="_x0000_i1026" DrawAspect="Content" ObjectID="_1547969789" r:id="rId7"/>
        </w:object>
      </w:r>
      <w:r w:rsidRPr="007826AC">
        <w:rPr>
          <w:rFonts w:ascii="Times New Roman" w:hAnsi="Times New Roman"/>
          <w:sz w:val="32"/>
          <w:szCs w:val="32"/>
          <w:lang w:val="uk-UA"/>
        </w:rPr>
        <w:t>± 0,5 октанової одиниці, необхідно перевірити стан і режим регулювання двигуна, апаратури та перевірити склад еталонних с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мішей.</w:t>
      </w:r>
    </w:p>
    <w:p w:rsidR="00E374D6" w:rsidRPr="00A60E6A" w:rsidRDefault="00E374D6" w:rsidP="00E374D6">
      <w:pPr>
        <w:pStyle w:val="9"/>
        <w:widowControl w:val="0"/>
        <w:spacing w:before="0" w:after="0" w:line="240" w:lineRule="auto"/>
        <w:ind w:left="851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544AF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</w:t>
      </w:r>
      <w:r w:rsidRPr="00A60E6A">
        <w:rPr>
          <w:rFonts w:ascii="Times New Roman" w:hAnsi="Times New Roman"/>
          <w:i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/>
          <w:i/>
          <w:sz w:val="28"/>
          <w:szCs w:val="28"/>
          <w:lang w:val="uk-UA"/>
        </w:rPr>
        <w:t>68</w:t>
      </w:r>
      <w:r w:rsidRPr="00A60E6A">
        <w:rPr>
          <w:rFonts w:ascii="Times New Roman" w:hAnsi="Times New Roman"/>
          <w:i/>
          <w:sz w:val="28"/>
          <w:szCs w:val="28"/>
          <w:lang w:val="uk-UA"/>
        </w:rPr>
        <w:t>.2</w:t>
      </w:r>
    </w:p>
    <w:p w:rsidR="00E374D6" w:rsidRPr="00641DCE" w:rsidRDefault="00E374D6" w:rsidP="00E374D6">
      <w:pPr>
        <w:pStyle w:val="2"/>
        <w:keepNext w:val="0"/>
        <w:widowControl w:val="0"/>
        <w:ind w:firstLine="0"/>
        <w:jc w:val="left"/>
        <w:rPr>
          <w:b w:val="0"/>
          <w:sz w:val="16"/>
          <w:szCs w:val="16"/>
          <w:lang w:val="uk-UA"/>
        </w:rPr>
      </w:pPr>
    </w:p>
    <w:p w:rsidR="00E374D6" w:rsidRPr="00A60E6A" w:rsidRDefault="00E374D6" w:rsidP="00E374D6">
      <w:pPr>
        <w:pStyle w:val="2"/>
        <w:keepNext w:val="0"/>
        <w:widowControl w:val="0"/>
        <w:rPr>
          <w:szCs w:val="28"/>
          <w:lang w:val="uk-UA"/>
        </w:rPr>
      </w:pPr>
      <w:r w:rsidRPr="00A60E6A">
        <w:rPr>
          <w:szCs w:val="28"/>
          <w:lang w:val="uk-UA"/>
        </w:rPr>
        <w:t>Контрольні палива</w:t>
      </w:r>
    </w:p>
    <w:p w:rsidR="00E374D6" w:rsidRPr="00A717C5" w:rsidRDefault="00E374D6" w:rsidP="00E374D6">
      <w:pPr>
        <w:widowControl w:val="0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560"/>
        <w:gridCol w:w="1559"/>
        <w:gridCol w:w="1559"/>
        <w:gridCol w:w="2410"/>
      </w:tblGrid>
      <w:tr w:rsidR="00E374D6" w:rsidRPr="00A60E6A" w:rsidTr="00F955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26" w:type="dxa"/>
            <w:vMerge w:val="restart"/>
          </w:tcPr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Номер контр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льного п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лива</w:t>
            </w:r>
          </w:p>
        </w:tc>
        <w:tc>
          <w:tcPr>
            <w:tcW w:w="4678" w:type="dxa"/>
            <w:gridSpan w:val="3"/>
          </w:tcPr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ємна частка компонентів, %</w:t>
            </w:r>
          </w:p>
        </w:tc>
        <w:tc>
          <w:tcPr>
            <w:tcW w:w="2410" w:type="dxa"/>
            <w:vMerge w:val="restart"/>
          </w:tcPr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Номінальне окт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нове число (ві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хилення ±0,5)</w:t>
            </w:r>
          </w:p>
        </w:tc>
      </w:tr>
      <w:tr w:rsidR="00E374D6" w:rsidRPr="00A60E6A" w:rsidTr="00F955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26" w:type="dxa"/>
            <w:vMerge/>
          </w:tcPr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Толуол</w:t>
            </w:r>
          </w:p>
        </w:tc>
        <w:tc>
          <w:tcPr>
            <w:tcW w:w="1559" w:type="dxa"/>
          </w:tcPr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Н-гептан</w:t>
            </w:r>
          </w:p>
        </w:tc>
        <w:tc>
          <w:tcPr>
            <w:tcW w:w="1559" w:type="dxa"/>
          </w:tcPr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Ізоо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тан </w:t>
            </w:r>
          </w:p>
        </w:tc>
        <w:tc>
          <w:tcPr>
            <w:tcW w:w="2410" w:type="dxa"/>
            <w:vMerge/>
          </w:tcPr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374D6" w:rsidRPr="00A60E6A" w:rsidTr="00F95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</w:tcPr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60" w:type="dxa"/>
          </w:tcPr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1559" w:type="dxa"/>
          </w:tcPr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410" w:type="dxa"/>
          </w:tcPr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67,1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71,1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76,9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81,7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85,4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90,5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95,6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99,1</w:t>
            </w:r>
          </w:p>
          <w:p w:rsidR="00E374D6" w:rsidRPr="00A60E6A" w:rsidRDefault="00E374D6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E6A">
              <w:rPr>
                <w:rFonts w:ascii="Times New Roman" w:hAnsi="Times New Roman"/>
                <w:sz w:val="28"/>
                <w:szCs w:val="28"/>
                <w:lang w:val="uk-UA"/>
              </w:rPr>
              <w:t>100,9</w:t>
            </w:r>
          </w:p>
        </w:tc>
      </w:tr>
    </w:tbl>
    <w:p w:rsidR="00E374D6" w:rsidRPr="00A717C5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374D6" w:rsidRPr="007826AC" w:rsidRDefault="00E374D6" w:rsidP="00E374D6">
      <w:pPr>
        <w:pStyle w:val="2"/>
        <w:keepNext w:val="0"/>
        <w:widowControl w:val="0"/>
        <w:ind w:firstLine="0"/>
        <w:rPr>
          <w:sz w:val="36"/>
          <w:szCs w:val="36"/>
          <w:lang w:val="uk-UA"/>
        </w:rPr>
      </w:pPr>
      <w:r w:rsidRPr="007826AC">
        <w:rPr>
          <w:sz w:val="36"/>
          <w:szCs w:val="36"/>
          <w:lang w:val="uk-UA"/>
        </w:rPr>
        <w:t>Визначення октанового ч</w:t>
      </w:r>
      <w:r w:rsidRPr="007826AC">
        <w:rPr>
          <w:sz w:val="36"/>
          <w:szCs w:val="36"/>
          <w:lang w:val="uk-UA"/>
        </w:rPr>
        <w:t>и</w:t>
      </w:r>
      <w:r w:rsidRPr="007826AC">
        <w:rPr>
          <w:sz w:val="36"/>
          <w:szCs w:val="36"/>
          <w:lang w:val="uk-UA"/>
        </w:rPr>
        <w:t>сла випробуваного бензину</w:t>
      </w:r>
    </w:p>
    <w:p w:rsidR="00E374D6" w:rsidRPr="007C0838" w:rsidRDefault="00E374D6" w:rsidP="00E374D6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374D6" w:rsidRPr="007826AC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Випробуваний бензин залити в бачок №1, попередньо позб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вившись контрольного палива.</w:t>
      </w:r>
    </w:p>
    <w:p w:rsidR="00E374D6" w:rsidRPr="007826AC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Провести регулювання складу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пальноповітряної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суміші на м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ксимальну інтенсивність детонації. Виставивши рівень випробув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ного бензину та змінюючи ступінь стиску, довести значення пока</w:t>
      </w:r>
      <w:r w:rsidRPr="007826AC">
        <w:rPr>
          <w:rFonts w:ascii="Times New Roman" w:hAnsi="Times New Roman"/>
          <w:sz w:val="32"/>
          <w:szCs w:val="32"/>
          <w:lang w:val="uk-UA"/>
        </w:rPr>
        <w:t>ж</w:t>
      </w:r>
      <w:r w:rsidRPr="007826AC">
        <w:rPr>
          <w:rFonts w:ascii="Times New Roman" w:hAnsi="Times New Roman"/>
          <w:sz w:val="32"/>
          <w:szCs w:val="32"/>
          <w:lang w:val="uk-UA"/>
        </w:rPr>
        <w:t>чика детонації до 55 розподілів. Отримана при цьому ступінь стиску залишається незмінною на протязі всього циклу подальшого випр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бування бензину.</w:t>
      </w:r>
    </w:p>
    <w:p w:rsidR="00E374D6" w:rsidRPr="007826AC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Провести порівняння досліджуваного бензину з сумішами ет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лонних палив. Перемикаючи кран карбюратора послідовно на </w:t>
      </w:r>
      <w:r w:rsidRPr="007826AC">
        <w:rPr>
          <w:rFonts w:ascii="Times New Roman" w:hAnsi="Times New Roman"/>
          <w:sz w:val="32"/>
          <w:szCs w:val="32"/>
          <w:lang w:val="uk-UA"/>
        </w:rPr>
        <w:lastRenderedPageBreak/>
        <w:t>др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гий і третій бачки аналогічно методиці, викладеній вище, 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значати рівень детонації на відповідних паливах.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7826AC">
        <w:rPr>
          <w:rFonts w:ascii="Times New Roman" w:hAnsi="Times New Roman"/>
          <w:sz w:val="32"/>
          <w:szCs w:val="32"/>
          <w:lang w:val="uk-UA"/>
        </w:rPr>
        <w:t>Якщо значення покажчика детонації на зразку не перебуває між показаннями еталонних сум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шей або не дорівнює рівню однієї з них, першу еталонну суміш зл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ти з карбюратора, а замість неї з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лити третю еталонну суміш, що відрізняється від другої не більше ніж на дві октанові одиниці.</w:t>
      </w:r>
    </w:p>
    <w:p w:rsidR="00E374D6" w:rsidRPr="007826AC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Якщо значення покажчика детонації на зразку перебувають між зн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ченнями еталонних палив, розрахувати величину октанового числа зразка за отриманими пок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зниками детонації по формулі 1.</w:t>
      </w:r>
    </w:p>
    <w:p w:rsidR="00E374D6" w:rsidRPr="007826AC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При перемиканні двигуна з одного палива на інше витримати час не менш 1 хв, щоб забезпечити сталий режим роботи двиг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на.</w:t>
      </w:r>
    </w:p>
    <w:p w:rsidR="00E374D6" w:rsidRPr="00A717C5" w:rsidRDefault="00E374D6" w:rsidP="00E374D6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374D6" w:rsidRPr="007826AC" w:rsidRDefault="00E374D6" w:rsidP="00E374D6">
      <w:pPr>
        <w:pStyle w:val="2"/>
        <w:keepNext w:val="0"/>
        <w:widowControl w:val="0"/>
        <w:ind w:firstLine="0"/>
        <w:rPr>
          <w:sz w:val="36"/>
          <w:szCs w:val="36"/>
          <w:lang w:val="uk-UA"/>
        </w:rPr>
      </w:pPr>
      <w:r w:rsidRPr="007826AC">
        <w:rPr>
          <w:sz w:val="36"/>
          <w:szCs w:val="36"/>
          <w:lang w:val="uk-UA"/>
        </w:rPr>
        <w:t>Обробка результатів досл</w:t>
      </w:r>
      <w:r w:rsidRPr="007826AC">
        <w:rPr>
          <w:sz w:val="36"/>
          <w:szCs w:val="36"/>
          <w:lang w:val="uk-UA"/>
        </w:rPr>
        <w:t>і</w:t>
      </w:r>
      <w:r w:rsidRPr="007826AC">
        <w:rPr>
          <w:sz w:val="36"/>
          <w:szCs w:val="36"/>
          <w:lang w:val="uk-UA"/>
        </w:rPr>
        <w:t>джень</w:t>
      </w:r>
    </w:p>
    <w:p w:rsidR="00E374D6" w:rsidRPr="007826AC" w:rsidRDefault="00E374D6" w:rsidP="00E374D6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374D6" w:rsidRDefault="00E374D6" w:rsidP="00E374D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За отриманим значенням рівнів детонації на відповідних пал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вах визначити середнє арифметичне значення детонації кожного палива. За середнім значенням розрахувати октанові числа контр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льного й випробув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ного палив за формулою</w:t>
      </w:r>
    </w:p>
    <w:p w:rsidR="00E374D6" w:rsidRPr="00A60E6A" w:rsidRDefault="00E374D6" w:rsidP="00E374D6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374D6" w:rsidRPr="00A60E6A" w:rsidRDefault="00E374D6" w:rsidP="00E374D6">
      <w:pPr>
        <w:pStyle w:val="a3"/>
        <w:widowControl w:val="0"/>
        <w:tabs>
          <w:tab w:val="center" w:pos="4678"/>
          <w:tab w:val="right" w:pos="9356"/>
        </w:tabs>
        <w:spacing w:after="0" w:line="240" w:lineRule="auto"/>
        <w:ind w:left="0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257206">
        <w:rPr>
          <w:rFonts w:ascii="Times New Roman" w:hAnsi="Times New Roman"/>
          <w:position w:val="-40"/>
          <w:sz w:val="32"/>
          <w:szCs w:val="32"/>
          <w:lang w:val="uk-UA"/>
        </w:rPr>
        <w:object w:dxaOrig="5100" w:dyaOrig="920">
          <v:shape id="_x0000_i1027" type="#_x0000_t75" style="width:255.25pt;height:45.8pt" o:ole="" fillcolor="window">
            <v:imagedata r:id="rId8" o:title=""/>
          </v:shape>
          <o:OLEObject Type="Embed" ProgID="Equation.3" ShapeID="_x0000_i1027" DrawAspect="Content" ObjectID="_1547969790" r:id="rId9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60E6A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68.</w:t>
      </w:r>
      <w:r w:rsidRPr="00A60E6A">
        <w:rPr>
          <w:rFonts w:ascii="Times New Roman" w:hAnsi="Times New Roman"/>
          <w:sz w:val="32"/>
          <w:szCs w:val="32"/>
          <w:lang w:val="uk-UA"/>
        </w:rPr>
        <w:t>1)</w:t>
      </w:r>
    </w:p>
    <w:p w:rsidR="00E374D6" w:rsidRPr="007826AC" w:rsidRDefault="00E374D6" w:rsidP="00E374D6">
      <w:pPr>
        <w:pStyle w:val="a3"/>
        <w:widowControl w:val="0"/>
        <w:tabs>
          <w:tab w:val="left" w:pos="1680"/>
        </w:tabs>
        <w:spacing w:after="0" w:line="240" w:lineRule="auto"/>
        <w:ind w:left="0"/>
        <w:rPr>
          <w:rFonts w:ascii="Times New Roman" w:hAnsi="Times New Roman"/>
          <w:lang w:val="uk-UA"/>
        </w:rPr>
      </w:pPr>
    </w:p>
    <w:p w:rsidR="00E374D6" w:rsidRPr="007826AC" w:rsidRDefault="00E374D6" w:rsidP="00E374D6">
      <w:pPr>
        <w:widowControl w:val="0"/>
        <w:spacing w:after="0" w:line="240" w:lineRule="auto"/>
        <w:ind w:left="1620" w:hanging="16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де </w:t>
      </w:r>
      <w:proofErr w:type="spellStart"/>
      <w:r w:rsidRPr="00A60E6A">
        <w:rPr>
          <w:rFonts w:ascii="Times New Roman" w:hAnsi="Times New Roman"/>
          <w:i/>
          <w:sz w:val="32"/>
          <w:szCs w:val="32"/>
          <w:lang w:val="uk-UA"/>
        </w:rPr>
        <w:t>ОЧ</w:t>
      </w:r>
      <w:r w:rsidRPr="00257206">
        <w:rPr>
          <w:rFonts w:ascii="Times New Roman" w:hAnsi="Times New Roman"/>
          <w:sz w:val="32"/>
          <w:szCs w:val="32"/>
          <w:vertAlign w:val="subscript"/>
          <w:lang w:val="uk-UA"/>
        </w:rPr>
        <w:t>вип</w:t>
      </w:r>
      <w:proofErr w:type="spellEnd"/>
      <w:r w:rsidRPr="00257206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7826AC">
        <w:rPr>
          <w:rFonts w:ascii="Times New Roman" w:hAnsi="Times New Roman"/>
          <w:sz w:val="32"/>
          <w:szCs w:val="32"/>
          <w:lang w:val="uk-UA"/>
        </w:rPr>
        <w:t>– октанове число випробуваного палива;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0E6A">
        <w:rPr>
          <w:rFonts w:ascii="Times New Roman" w:hAnsi="Times New Roman"/>
          <w:i/>
          <w:sz w:val="32"/>
          <w:szCs w:val="32"/>
          <w:lang w:val="uk-UA"/>
        </w:rPr>
        <w:t>ОЧ</w:t>
      </w:r>
      <w:r w:rsidRPr="00257206">
        <w:rPr>
          <w:rFonts w:ascii="Times New Roman" w:hAnsi="Times New Roman"/>
          <w:sz w:val="32"/>
          <w:szCs w:val="32"/>
          <w:vertAlign w:val="subscript"/>
          <w:lang w:val="uk-UA"/>
        </w:rPr>
        <w:t>1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– октанове число еталонного палива №1, що детонує сильніше 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пробуваного палива;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0E6A">
        <w:rPr>
          <w:rFonts w:ascii="Times New Roman" w:hAnsi="Times New Roman"/>
          <w:i/>
          <w:sz w:val="32"/>
          <w:szCs w:val="32"/>
          <w:lang w:val="uk-UA"/>
        </w:rPr>
        <w:t>ОЧ</w:t>
      </w:r>
      <w:r w:rsidRPr="00257206">
        <w:rPr>
          <w:rFonts w:ascii="Times New Roman" w:hAnsi="Times New Roman"/>
          <w:sz w:val="32"/>
          <w:szCs w:val="32"/>
          <w:vertAlign w:val="subscript"/>
          <w:lang w:val="uk-UA"/>
        </w:rPr>
        <w:t>2</w:t>
      </w:r>
      <w:r w:rsidRPr="00A60E6A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7826AC">
        <w:rPr>
          <w:rFonts w:ascii="Times New Roman" w:hAnsi="Times New Roman"/>
          <w:sz w:val="32"/>
          <w:szCs w:val="32"/>
          <w:lang w:val="uk-UA"/>
        </w:rPr>
        <w:t>– октанове число еталонного палива №2, що д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тонує слабкіше випробуваного палива;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0E6A">
        <w:rPr>
          <w:rFonts w:ascii="Times New Roman" w:hAnsi="Times New Roman"/>
          <w:i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 xml:space="preserve"> – 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середнє арифметичне значення рівня детонації 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пробуваного палива;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0E6A">
        <w:rPr>
          <w:rFonts w:ascii="Times New Roman" w:hAnsi="Times New Roman"/>
          <w:i/>
          <w:sz w:val="32"/>
          <w:szCs w:val="32"/>
          <w:lang w:val="uk-UA"/>
        </w:rPr>
        <w:t>а</w:t>
      </w:r>
      <w:r w:rsidRPr="00257206">
        <w:rPr>
          <w:rFonts w:ascii="Times New Roman" w:hAnsi="Times New Roman"/>
          <w:sz w:val="32"/>
          <w:szCs w:val="32"/>
          <w:vertAlign w:val="subscript"/>
          <w:lang w:val="uk-UA"/>
        </w:rPr>
        <w:t>1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– середнє арифметичне значення рівня детонації еталонного п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лива №1;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0E6A">
        <w:rPr>
          <w:rFonts w:ascii="Times New Roman" w:hAnsi="Times New Roman"/>
          <w:i/>
          <w:sz w:val="32"/>
          <w:szCs w:val="32"/>
          <w:lang w:val="uk-UA"/>
        </w:rPr>
        <w:t>а</w:t>
      </w:r>
      <w:r w:rsidRPr="00257206">
        <w:rPr>
          <w:rFonts w:ascii="Times New Roman" w:hAnsi="Times New Roman"/>
          <w:sz w:val="32"/>
          <w:szCs w:val="32"/>
          <w:vertAlign w:val="subscript"/>
          <w:lang w:val="uk-UA"/>
        </w:rPr>
        <w:t>2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– середнє арифметичне значення рівня детонації еталонного пал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ва №2.</w:t>
      </w:r>
    </w:p>
    <w:p w:rsidR="00E374D6" w:rsidRPr="00A60E6A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374D6" w:rsidRPr="007826AC" w:rsidRDefault="00E374D6" w:rsidP="00E374D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Приклад розрахунку октанового числа карбюраторного пал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ва.</w:t>
      </w:r>
    </w:p>
    <w:p w:rsidR="00E374D6" w:rsidRPr="007826AC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Припустимо, що було взято контрольне паливо КП №3 з табл.</w:t>
      </w:r>
      <w:r w:rsidRPr="007826A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68</w:t>
      </w:r>
      <w:r w:rsidRPr="007826AC">
        <w:rPr>
          <w:rFonts w:ascii="Times New Roman" w:hAnsi="Times New Roman"/>
          <w:sz w:val="32"/>
          <w:szCs w:val="32"/>
          <w:lang w:val="uk-UA"/>
        </w:rPr>
        <w:t>.2 з ОЧ = 76,9. Суміші еталонних палив були складені СЕП №1 з ОЧ = 76 і СЕП №2 з ОЧ = 78. Отримано наступні рівні детон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ції:</w:t>
      </w:r>
    </w:p>
    <w:p w:rsidR="00E374D6" w:rsidRPr="00A717C5" w:rsidRDefault="00E374D6" w:rsidP="00E374D6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374D6" w:rsidRPr="007826AC" w:rsidRDefault="00E374D6" w:rsidP="00E374D6">
      <w:pPr>
        <w:pStyle w:val="3"/>
        <w:keepNext w:val="0"/>
        <w:widowControl w:val="0"/>
        <w:ind w:firstLine="709"/>
        <w:rPr>
          <w:sz w:val="32"/>
          <w:szCs w:val="32"/>
          <w:lang w:val="uk-UA"/>
        </w:rPr>
      </w:pPr>
      <w:r w:rsidRPr="007826AC">
        <w:rPr>
          <w:sz w:val="32"/>
          <w:szCs w:val="32"/>
          <w:lang w:val="uk-UA"/>
        </w:rPr>
        <w:t xml:space="preserve">        КП №3                 СЕП №1                         СЕП №2</w:t>
      </w:r>
    </w:p>
    <w:p w:rsidR="00E374D6" w:rsidRPr="007826AC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            55                          61                                    41</w:t>
      </w:r>
    </w:p>
    <w:p w:rsidR="00E374D6" w:rsidRPr="007826AC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            56                          61                                    41</w:t>
      </w:r>
    </w:p>
    <w:p w:rsidR="00E374D6" w:rsidRPr="007826AC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lastRenderedPageBreak/>
        <w:t xml:space="preserve">            54                          61                                    41</w:t>
      </w:r>
    </w:p>
    <w:p w:rsidR="00E374D6" w:rsidRPr="007826AC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            56                          61                                    41</w:t>
      </w:r>
    </w:p>
    <w:p w:rsidR="00E374D6" w:rsidRPr="007826AC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            54                          61                                    41</w:t>
      </w:r>
    </w:p>
    <w:p w:rsidR="00E374D6" w:rsidRPr="007826AC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       середнє 55            середнє 61                       середнє 41</w:t>
      </w:r>
    </w:p>
    <w:p w:rsidR="00E374D6" w:rsidRPr="00A717C5" w:rsidRDefault="00E374D6" w:rsidP="00E374D6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374D6" w:rsidRPr="007826AC" w:rsidRDefault="00E374D6" w:rsidP="00E374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Тоді октанове число контрольного палива № 3 за результатами 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пробувань становить:</w:t>
      </w:r>
    </w:p>
    <w:p w:rsidR="00E374D6" w:rsidRDefault="00E374D6" w:rsidP="00E374D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/>
        </w:rPr>
      </w:pPr>
      <w:r w:rsidRPr="00A60E6A">
        <w:rPr>
          <w:rFonts w:ascii="Times New Roman" w:hAnsi="Times New Roman"/>
          <w:position w:val="-30"/>
          <w:sz w:val="32"/>
          <w:szCs w:val="32"/>
          <w:lang w:val="uk-UA"/>
        </w:rPr>
        <w:object w:dxaOrig="6800" w:dyaOrig="800">
          <v:shape id="_x0000_i1028" type="#_x0000_t75" style="width:340.35pt;height:40.2pt" o:ole="" fillcolor="window">
            <v:imagedata r:id="rId10" o:title=""/>
          </v:shape>
          <o:OLEObject Type="Embed" ProgID="Equation.3" ShapeID="_x0000_i1028" DrawAspect="Content" ObjectID="_1547969791" r:id="rId11"/>
        </w:object>
      </w:r>
      <w:r w:rsidRPr="007826AC">
        <w:rPr>
          <w:rFonts w:ascii="Times New Roman" w:hAnsi="Times New Roman"/>
          <w:sz w:val="32"/>
          <w:szCs w:val="32"/>
          <w:lang w:val="uk-UA"/>
        </w:rPr>
        <w:t>.</w:t>
      </w:r>
    </w:p>
    <w:p w:rsidR="00E374D6" w:rsidRPr="00A717C5" w:rsidRDefault="00E374D6" w:rsidP="00E374D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E374D6" w:rsidRPr="00A717C5" w:rsidRDefault="00E374D6" w:rsidP="00E374D6">
      <w:pPr>
        <w:pStyle w:val="8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A717C5">
        <w:rPr>
          <w:rFonts w:ascii="Times New Roman" w:hAnsi="Times New Roman"/>
          <w:b/>
          <w:sz w:val="32"/>
          <w:szCs w:val="32"/>
          <w:lang w:val="uk-UA"/>
        </w:rPr>
        <w:t>Порівнюючи отримане значення октанового числа контр</w:t>
      </w:r>
      <w:r w:rsidRPr="00A717C5">
        <w:rPr>
          <w:rFonts w:ascii="Times New Roman" w:hAnsi="Times New Roman"/>
          <w:b/>
          <w:sz w:val="32"/>
          <w:szCs w:val="32"/>
          <w:lang w:val="uk-UA"/>
        </w:rPr>
        <w:t>о</w:t>
      </w:r>
      <w:r w:rsidRPr="00A717C5">
        <w:rPr>
          <w:rFonts w:ascii="Times New Roman" w:hAnsi="Times New Roman"/>
          <w:b/>
          <w:sz w:val="32"/>
          <w:szCs w:val="32"/>
          <w:lang w:val="uk-UA"/>
        </w:rPr>
        <w:t>льного палива №3 з номінал</w:t>
      </w:r>
      <w:r w:rsidRPr="00A717C5">
        <w:rPr>
          <w:rFonts w:ascii="Times New Roman" w:hAnsi="Times New Roman"/>
          <w:b/>
          <w:sz w:val="32"/>
          <w:szCs w:val="32"/>
          <w:lang w:val="uk-UA"/>
        </w:rPr>
        <w:t>ь</w:t>
      </w:r>
      <w:r w:rsidRPr="00A717C5">
        <w:rPr>
          <w:rFonts w:ascii="Times New Roman" w:hAnsi="Times New Roman"/>
          <w:b/>
          <w:sz w:val="32"/>
          <w:szCs w:val="32"/>
          <w:lang w:val="uk-UA"/>
        </w:rPr>
        <w:t>ним октановим числом по табл.</w:t>
      </w:r>
      <w:r w:rsidRPr="00A717C5">
        <w:rPr>
          <w:rFonts w:ascii="Times New Roman" w:hAnsi="Times New Roman"/>
          <w:b/>
          <w:sz w:val="32"/>
          <w:szCs w:val="32"/>
        </w:rPr>
        <w:t xml:space="preserve"> </w:t>
      </w:r>
      <w:r w:rsidRPr="00A717C5">
        <w:rPr>
          <w:rFonts w:ascii="Times New Roman" w:hAnsi="Times New Roman"/>
          <w:b/>
          <w:sz w:val="32"/>
          <w:szCs w:val="32"/>
          <w:lang w:val="uk-UA"/>
        </w:rPr>
        <w:t>68.2, приходимо до висновку, що відхилення від номінальн</w:t>
      </w:r>
      <w:r>
        <w:rPr>
          <w:rFonts w:ascii="Times New Roman" w:hAnsi="Times New Roman"/>
          <w:b/>
          <w:sz w:val="32"/>
          <w:szCs w:val="32"/>
          <w:lang w:val="uk-UA"/>
        </w:rPr>
        <w:t>ого становить 0,3 одиниці (76,9</w:t>
      </w:r>
      <w:r w:rsidRPr="00A717C5">
        <w:rPr>
          <w:rFonts w:ascii="Times New Roman" w:hAnsi="Times New Roman"/>
          <w:b/>
          <w:sz w:val="32"/>
          <w:szCs w:val="32"/>
          <w:lang w:val="uk-UA"/>
        </w:rPr>
        <w:t xml:space="preserve"> – 76,6 = 0,3), а це вказує на те, що установка працює в нормальному р</w:t>
      </w:r>
      <w:r w:rsidRPr="00A717C5">
        <w:rPr>
          <w:rFonts w:ascii="Times New Roman" w:hAnsi="Times New Roman"/>
          <w:b/>
          <w:sz w:val="32"/>
          <w:szCs w:val="32"/>
          <w:lang w:val="uk-UA"/>
        </w:rPr>
        <w:t>е</w:t>
      </w:r>
      <w:r w:rsidRPr="00A717C5">
        <w:rPr>
          <w:rFonts w:ascii="Times New Roman" w:hAnsi="Times New Roman"/>
          <w:b/>
          <w:sz w:val="32"/>
          <w:szCs w:val="32"/>
          <w:lang w:val="uk-UA"/>
        </w:rPr>
        <w:t>жимі.</w:t>
      </w:r>
    </w:p>
    <w:p w:rsidR="00E374D6" w:rsidRDefault="00E374D6" w:rsidP="00E374D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Аналогічно за формулою 1 визначають октанове число випр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буваного бензину, що відібраний безпосередньо із цистерни або п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ливного бака автомобіля.</w:t>
      </w:r>
    </w:p>
    <w:p w:rsidR="00E374D6" w:rsidRPr="007826AC" w:rsidRDefault="00E374D6" w:rsidP="00E374D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374D6" w:rsidRPr="007826AC" w:rsidRDefault="00E374D6" w:rsidP="00E374D6">
      <w:pPr>
        <w:pStyle w:val="4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7826AC">
        <w:rPr>
          <w:rFonts w:ascii="Times New Roman" w:hAnsi="Times New Roman"/>
          <w:sz w:val="36"/>
          <w:szCs w:val="36"/>
          <w:lang w:val="uk-UA"/>
        </w:rPr>
        <w:t>Контрольні запитання</w:t>
      </w:r>
    </w:p>
    <w:p w:rsidR="00E374D6" w:rsidRPr="007826AC" w:rsidRDefault="00E374D6" w:rsidP="00E374D6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374D6" w:rsidRPr="007826AC" w:rsidRDefault="00E374D6" w:rsidP="00E374D6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Що таке октанове число бензину й від чого воно зал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жить?</w:t>
      </w:r>
    </w:p>
    <w:p w:rsidR="00E374D6" w:rsidRPr="007826AC" w:rsidRDefault="00E374D6" w:rsidP="00E374D6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Які існують шляхи підвищення детонаційної стійкості бе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>зину?</w:t>
      </w:r>
    </w:p>
    <w:p w:rsidR="00E374D6" w:rsidRPr="007826AC" w:rsidRDefault="00E374D6" w:rsidP="00E374D6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У чому сутність моторного й дослідницького методів визначе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>ня октанових чисел б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нзину?</w:t>
      </w:r>
    </w:p>
    <w:p w:rsidR="00E374D6" w:rsidRPr="007826AC" w:rsidRDefault="00E374D6" w:rsidP="00E374D6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У яких випадках доцільно використовувати моторний чи досл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дницький методи визначення октанового числа бе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>зину?</w:t>
      </w:r>
    </w:p>
    <w:p w:rsidR="00E374D6" w:rsidRPr="007826AC" w:rsidRDefault="00E374D6" w:rsidP="00E374D6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Які групи вуглеводнів мають високу детонаційну сті</w:t>
      </w:r>
      <w:r w:rsidRPr="007826AC">
        <w:rPr>
          <w:rFonts w:ascii="Times New Roman" w:hAnsi="Times New Roman"/>
          <w:sz w:val="32"/>
          <w:szCs w:val="32"/>
          <w:lang w:val="uk-UA"/>
        </w:rPr>
        <w:t>й</w:t>
      </w:r>
      <w:r w:rsidRPr="007826AC">
        <w:rPr>
          <w:rFonts w:ascii="Times New Roman" w:hAnsi="Times New Roman"/>
          <w:sz w:val="32"/>
          <w:szCs w:val="32"/>
          <w:lang w:val="uk-UA"/>
        </w:rPr>
        <w:t>кість?</w:t>
      </w:r>
    </w:p>
    <w:p w:rsidR="00E374D6" w:rsidRPr="007826AC" w:rsidRDefault="00E374D6" w:rsidP="00E374D6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 визначається чутливість бензину до режиму роботи двиг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на?</w:t>
      </w:r>
    </w:p>
    <w:p w:rsidR="00E374D6" w:rsidRPr="007826AC" w:rsidRDefault="00E374D6" w:rsidP="00E374D6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Що характеризує жорсткість бензину?</w:t>
      </w:r>
    </w:p>
    <w:p w:rsidR="00E374D6" w:rsidRPr="007826AC" w:rsidRDefault="00E374D6" w:rsidP="00E374D6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Чим відрізняється фактичне октанове число від дорожнь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го?</w:t>
      </w:r>
    </w:p>
    <w:p w:rsidR="00E374D6" w:rsidRPr="007826AC" w:rsidRDefault="00E374D6" w:rsidP="00E374D6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Чи змінюється октанове число при тривалому зберіганні бенз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ну?</w:t>
      </w:r>
    </w:p>
    <w:p w:rsidR="00E374D6" w:rsidRPr="007826AC" w:rsidRDefault="00E374D6" w:rsidP="00E374D6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Чи впливає величина октанового числа на надійність, довгов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чність і економічність двигуна?</w:t>
      </w:r>
    </w:p>
    <w:p w:rsidR="001D28B4" w:rsidRPr="00E374D6" w:rsidRDefault="00E374D6">
      <w:pPr>
        <w:rPr>
          <w:lang w:val="uk-UA"/>
        </w:rPr>
      </w:pPr>
      <w:bookmarkStart w:id="0" w:name="_GoBack"/>
      <w:bookmarkEnd w:id="0"/>
    </w:p>
    <w:sectPr w:rsidR="001D28B4" w:rsidRPr="00E374D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25F"/>
    <w:multiLevelType w:val="hybridMultilevel"/>
    <w:tmpl w:val="D2FEEFCA"/>
    <w:lvl w:ilvl="0" w:tplc="CE82F3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694CC5"/>
    <w:multiLevelType w:val="hybridMultilevel"/>
    <w:tmpl w:val="D86C37B8"/>
    <w:lvl w:ilvl="0" w:tplc="CE82F3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39862FA"/>
    <w:multiLevelType w:val="hybridMultilevel"/>
    <w:tmpl w:val="AFB686A8"/>
    <w:lvl w:ilvl="0" w:tplc="56D4947C">
      <w:start w:val="8"/>
      <w:numFmt w:val="bullet"/>
      <w:lvlText w:val="–"/>
      <w:lvlJc w:val="left"/>
      <w:pPr>
        <w:ind w:left="2363" w:hanging="94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A8549E"/>
    <w:multiLevelType w:val="hybridMultilevel"/>
    <w:tmpl w:val="D186BF48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D6"/>
    <w:rsid w:val="006E088C"/>
    <w:rsid w:val="00D6734F"/>
    <w:rsid w:val="00E3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24F9C-021C-400D-9100-60337524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D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374D6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74D6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74D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374D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374D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74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7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74D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E374D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74D6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nhideWhenUsed/>
    <w:rsid w:val="00E374D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374D6"/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E374D6"/>
    <w:pPr>
      <w:spacing w:after="120"/>
    </w:pPr>
  </w:style>
  <w:style w:type="character" w:customStyle="1" w:styleId="a6">
    <w:name w:val="Основной текст Знак"/>
    <w:basedOn w:val="a0"/>
    <w:link w:val="a5"/>
    <w:rsid w:val="00E374D6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E374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E374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2017-02-07T08:46:00Z</dcterms:created>
  <dcterms:modified xsi:type="dcterms:W3CDTF">2017-02-07T08:50:00Z</dcterms:modified>
</cp:coreProperties>
</file>