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6B" w:rsidRDefault="00F8656B" w:rsidP="00F8656B">
      <w:pPr>
        <w:widowControl w:val="0"/>
        <w:shd w:val="clear" w:color="auto" w:fill="FFFFFF"/>
        <w:spacing w:after="0" w:line="240" w:lineRule="auto"/>
        <w:ind w:hanging="11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Лабораторна робота № 37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>ПЕРЕВІРКА ТА РЕГУЛЮВАННЯ ПЛУНЖЕРНИХ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>ПАР НАГНІТАЛЬНИХ СЕКЦІЙ ПНВТ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>ДИЗЕЛЬНОГО ДВИГУНА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11"/>
        <w:jc w:val="both"/>
        <w:rPr>
          <w:rFonts w:ascii="Times New Roman" w:hAnsi="Times New Roman"/>
          <w:caps/>
          <w:sz w:val="32"/>
          <w:szCs w:val="32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11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Мета роботи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Засвоєння прийомів перевірки герметичності та гідравлічної щільності сполучень плунжерної пари ПНВТ, симптомів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неспра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ностей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та методики постановки діагнозу під час перевірки плунж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рної пари.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656B" w:rsidRDefault="00F8656B" w:rsidP="00F865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Устаткування та прилади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656B" w:rsidRDefault="00F8656B" w:rsidP="00F865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Стенд моделі НІІАТ–625 (рис.37.1).</w:t>
      </w:r>
    </w:p>
    <w:p w:rsidR="00F8656B" w:rsidRDefault="00F8656B" w:rsidP="00F865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Ручний пневматичний насос.</w:t>
      </w:r>
    </w:p>
    <w:p w:rsidR="00F8656B" w:rsidRDefault="00F8656B" w:rsidP="00F865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Секундомір.</w:t>
      </w:r>
    </w:p>
    <w:p w:rsidR="00F8656B" w:rsidRDefault="00F8656B" w:rsidP="00F865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Набір гайкових ключів і викрутка.</w:t>
      </w:r>
    </w:p>
    <w:p w:rsidR="00F8656B" w:rsidRDefault="00F8656B" w:rsidP="00F865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Плунжерні пари паливних насосів високого тиску двигунів ЯМЗ–238 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КамАЗ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–740, що перевіряються.</w:t>
      </w:r>
    </w:p>
    <w:p w:rsidR="00F8656B" w:rsidRDefault="00F8656B" w:rsidP="00F865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Плакати та схеми.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Зміст і порядок виконання роботи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Плунжерна пара є основою кожної нагнітальної секції пали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ного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соса високого тиску. Кількість нагнітальних секцій ПНВТ дорівнює кіл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 xml:space="preserve">кості циліндрів двигуна. Плунжерна (прецизійна) пара складається із плунжера та гільзи. Ці деталі підбираються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селекти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один до одного із зазором 0,001...0,002 мм і в процесі експлуат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ції їх не можна розукомплектувати. Нижнім кінцем плунжер упир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ється в регулювальний гвинт, закручений у корпус роликового шт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вхача нагнітальної секції ПНВТ. Для попередження мимовільного вивертання регулювального гвинта передб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чена контргайка.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Плунжер насоса переміщується догори при набіганні кулачка на роликовий штовхач. Зворотне переміщення плунжера відбув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ється при збіганні кулачка з ролика під впливом пружини, що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вп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рається через 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рілку в плунжер.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Робота нагнітальної секції ПНВТ (рис.37.1) складається з 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ких ст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дій: наповнення, зворотного перепуску, подачі, відсічення та переп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ску палива в зливальний канал.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85895" cy="2508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4" t="43460" r="31570" b="23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6B" w:rsidRDefault="00F8656B" w:rsidP="00F8656B">
      <w:pPr>
        <w:widowControl w:val="0"/>
        <w:tabs>
          <w:tab w:val="left" w:pos="405"/>
          <w:tab w:val="left" w:pos="4845"/>
          <w:tab w:val="left" w:pos="4875"/>
          <w:tab w:val="left" w:pos="7320"/>
        </w:tabs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Рис.37.1. Схема роботи нагнітальної секції паливного насоса високого тиску:</w:t>
      </w:r>
    </w:p>
    <w:p w:rsidR="00F8656B" w:rsidRDefault="00F8656B" w:rsidP="00F8656B">
      <w:pPr>
        <w:widowControl w:val="0"/>
        <w:tabs>
          <w:tab w:val="left" w:pos="405"/>
          <w:tab w:val="left" w:pos="4845"/>
          <w:tab w:val="left" w:pos="4875"/>
          <w:tab w:val="left" w:pos="7320"/>
        </w:tabs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а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наповнення;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б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в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початок і кінець подачі палива; 1 – гільза;</w:t>
      </w:r>
    </w:p>
    <w:p w:rsidR="00F8656B" w:rsidRDefault="00F8656B" w:rsidP="00F8656B">
      <w:pPr>
        <w:widowControl w:val="0"/>
        <w:tabs>
          <w:tab w:val="left" w:pos="405"/>
          <w:tab w:val="left" w:pos="4845"/>
          <w:tab w:val="left" w:pos="4875"/>
          <w:tab w:val="left" w:pos="7320"/>
        </w:tabs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2 </w:t>
      </w:r>
      <w:r>
        <w:rPr>
          <w:rFonts w:ascii="Times New Roman" w:hAnsi="Times New Roman"/>
          <w:sz w:val="28"/>
          <w:szCs w:val="28"/>
          <w:lang w:val="uk-UA"/>
        </w:rPr>
        <w:t xml:space="preserve">– відсічна крайка;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3 </w:t>
      </w:r>
      <w:r>
        <w:rPr>
          <w:rFonts w:ascii="Times New Roman" w:hAnsi="Times New Roman"/>
          <w:sz w:val="28"/>
          <w:szCs w:val="28"/>
          <w:lang w:val="uk-UA"/>
        </w:rPr>
        <w:t xml:space="preserve">– зливальний отвір;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надплунжерна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порожнина;</w:t>
      </w:r>
    </w:p>
    <w:p w:rsidR="00F8656B" w:rsidRDefault="00F8656B" w:rsidP="00F8656B">
      <w:pPr>
        <w:widowControl w:val="0"/>
        <w:tabs>
          <w:tab w:val="left" w:pos="405"/>
          <w:tab w:val="left" w:pos="4845"/>
          <w:tab w:val="left" w:pos="4875"/>
          <w:tab w:val="left" w:pos="7320"/>
        </w:tabs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 xml:space="preserve">– нагнітальний клапан;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 xml:space="preserve">– штуцер; 7 – пружина;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8 </w:t>
      </w:r>
      <w:r>
        <w:rPr>
          <w:rFonts w:ascii="Times New Roman" w:hAnsi="Times New Roman"/>
          <w:sz w:val="28"/>
          <w:szCs w:val="28"/>
          <w:lang w:val="uk-UA"/>
        </w:rPr>
        <w:t>– впускний отвір;</w:t>
      </w:r>
    </w:p>
    <w:p w:rsidR="00F8656B" w:rsidRDefault="00F8656B" w:rsidP="00F8656B">
      <w:pPr>
        <w:widowControl w:val="0"/>
        <w:tabs>
          <w:tab w:val="left" w:pos="405"/>
          <w:tab w:val="left" w:pos="4845"/>
          <w:tab w:val="left" w:pos="4875"/>
          <w:tab w:val="left" w:pos="7320"/>
        </w:tabs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  <w:lang w:val="uk-UA"/>
        </w:rPr>
        <w:t xml:space="preserve">– плунжер;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10, 11 </w:t>
      </w:r>
      <w:r>
        <w:rPr>
          <w:rFonts w:ascii="Times New Roman" w:hAnsi="Times New Roman"/>
          <w:sz w:val="28"/>
          <w:szCs w:val="28"/>
          <w:lang w:val="uk-UA"/>
        </w:rPr>
        <w:t>– вертикальний і горизонтальний канали плунжера;</w:t>
      </w:r>
    </w:p>
    <w:p w:rsidR="00F8656B" w:rsidRDefault="00F8656B" w:rsidP="00F8656B">
      <w:pPr>
        <w:widowControl w:val="0"/>
        <w:tabs>
          <w:tab w:val="left" w:pos="405"/>
          <w:tab w:val="left" w:pos="4845"/>
          <w:tab w:val="left" w:pos="4875"/>
          <w:tab w:val="left" w:pos="7320"/>
        </w:tabs>
        <w:spacing w:after="0" w:line="240" w:lineRule="auto"/>
        <w:ind w:hanging="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12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канал підводу у корпусі насоса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Наповнення паливом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надплунжерної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порожнини 4 у гільзі (рис.37.1, </w:t>
      </w:r>
      <w:r>
        <w:rPr>
          <w:rFonts w:ascii="Times New Roman" w:hAnsi="Times New Roman"/>
          <w:i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) відбувається при русі плунжера 9 до низу, коли він ві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криває випус</w:t>
      </w:r>
      <w:r>
        <w:rPr>
          <w:rFonts w:ascii="Times New Roman" w:hAnsi="Times New Roman"/>
          <w:sz w:val="32"/>
          <w:szCs w:val="32"/>
          <w:lang w:val="uk-UA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>ний отвір 8. В цю мить паливо починає надходити в порожнину над пл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 xml:space="preserve">нжером, тому що вона перебуває під тиском, створюваним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паливопідк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чувальним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насосом. При переміщенні плунжера до гори під дією кулачка, що набігає, спочатку відбув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ється зворотний перепуск палива в канал підводу через впускний отвір 8. Як тільки торцева крайка плунжера перекриває впускний отвір, зворотний перепуск палива припиняється та різко підвищ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ється тиск палива, під дією якого нагнітальний клапан 5 відкрив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ється (рис.37.1, </w:t>
      </w:r>
      <w:r>
        <w:rPr>
          <w:rFonts w:ascii="Times New Roman" w:hAnsi="Times New Roman"/>
          <w:i/>
          <w:sz w:val="32"/>
          <w:szCs w:val="32"/>
          <w:lang w:val="uk-UA"/>
        </w:rPr>
        <w:t>б</w:t>
      </w:r>
      <w:r>
        <w:rPr>
          <w:rFonts w:ascii="Times New Roman" w:hAnsi="Times New Roman"/>
          <w:sz w:val="32"/>
          <w:szCs w:val="32"/>
          <w:lang w:val="uk-UA"/>
        </w:rPr>
        <w:t>). Це  відповідає початку подачі палива, що надх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дить до форсунки з подальшим впорскуванням у ц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ліндр двигуна.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Подача палива нагнітальною секцією триває доти, поки за д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пом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гою відсічної крайки 2 плунжера не почнеться перепуск палива в злив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льний канал насоса високого тиску через отвір 3 у гільзі плунжерної пари (оскільки тиск у ньому значно нижчий, ніж у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рожнині над плунжером). При цьому тиск над плунжером різко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дає і нагнітальний клапан швидко закривається, припиняючи под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чу палива (рис.37.1, </w:t>
      </w:r>
      <w:r>
        <w:rPr>
          <w:rFonts w:ascii="Times New Roman" w:hAnsi="Times New Roman"/>
          <w:i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).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Кількість палива, що подається нагнітальною секцією насоса з миті закриття впускного і до миті відкриття випускного отвору в г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льзі плу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жерної пари за один хід плунжера (активний хід) визначає теоретичну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дачу палива секцією. Дійсно подана кількість палива, тобто циклова подача відрізняється від теоретичної через витік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лива крізь зазори плу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жерної пари, а також інших факторів. Різниця між цикловою та теорети</w:t>
      </w:r>
      <w:r>
        <w:rPr>
          <w:rFonts w:ascii="Times New Roman" w:hAnsi="Times New Roman"/>
          <w:sz w:val="32"/>
          <w:szCs w:val="32"/>
          <w:lang w:val="uk-UA"/>
        </w:rPr>
        <w:t>ч</w:t>
      </w:r>
      <w:r>
        <w:rPr>
          <w:rFonts w:ascii="Times New Roman" w:hAnsi="Times New Roman"/>
          <w:sz w:val="32"/>
          <w:szCs w:val="32"/>
          <w:lang w:val="uk-UA"/>
        </w:rPr>
        <w:t>ною подачами враховується коефіцієнтом подачі, рівним 0,75...0,9.</w:t>
      </w:r>
      <w:r w:rsidRPr="00CD45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Під час роботи нагнітальної секції ПНВТ при переміщенні плунж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ра догори тиск палива підвищується до 1,2...1,8 МПа, що спричиняє відкриття нагнітального клапана та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чаток подачі палива. Подальше перем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щення плунжера зумовлює збільшення тиску до 15...18,5 МПа, залежно від марки ПНВТ. В р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зультаті цього відкривається голка форсунки і здійснюється впор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кування палива в циліндр двигуна, що триває до моменту досягне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 відсічною кра</w:t>
      </w:r>
      <w:r>
        <w:rPr>
          <w:rFonts w:ascii="Times New Roman" w:hAnsi="Times New Roman"/>
          <w:sz w:val="32"/>
          <w:szCs w:val="32"/>
          <w:lang w:val="uk-UA"/>
        </w:rPr>
        <w:t>й</w:t>
      </w:r>
      <w:r>
        <w:rPr>
          <w:rFonts w:ascii="Times New Roman" w:hAnsi="Times New Roman"/>
          <w:sz w:val="32"/>
          <w:szCs w:val="32"/>
          <w:lang w:val="uk-UA"/>
        </w:rPr>
        <w:t>кою плунжера випускного отвору в гільзі. Робочі процеси нагніт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льної секції ПНВТ характеризують його роботу при постійній под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чі палива і незмінній частоті обертання колінчатого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та нава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таження двигуна.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Порядок перевірки плунжерної пари на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герметичність на стенді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Перед перевіркою плунжерної пари на герметичність необхі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но пі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готувати стенд до роботи. Після цього слід:</w:t>
      </w:r>
    </w:p>
    <w:p w:rsidR="00F8656B" w:rsidRDefault="00F8656B" w:rsidP="00F865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оглянути торець втулки плунжера, що перевіряється, при ная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ності рисок і слідів корозії торець втулки притерти за допом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гою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притир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чних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плиток;</w:t>
      </w:r>
    </w:p>
    <w:p w:rsidR="00F8656B" w:rsidRDefault="00F8656B" w:rsidP="00F865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змочити плунжерну пару в дизельному паливі та установити втулку плунжера в склянку приладу для перевірки плунжерних пар таким чином, щоб паз втулки збігся з віссю регулювального гвинта прил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ду. Після чого гвинт загорнути до відмови;</w:t>
      </w:r>
    </w:p>
    <w:p w:rsidR="00F8656B" w:rsidRDefault="00F8656B" w:rsidP="00F865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установити склянку приладу разом із втулкою плунжера в ко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 xml:space="preserve">пус приладу, повернувши її так, щоб виступи склянки зайшли під відповідні виступи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корпуса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, а отвори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паливоживлення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збі</w:t>
      </w:r>
      <w:r>
        <w:rPr>
          <w:rFonts w:ascii="Times New Roman" w:hAnsi="Times New Roman"/>
          <w:sz w:val="32"/>
          <w:szCs w:val="32"/>
          <w:lang w:val="uk-UA"/>
        </w:rPr>
        <w:t>г</w:t>
      </w:r>
      <w:r>
        <w:rPr>
          <w:rFonts w:ascii="Times New Roman" w:hAnsi="Times New Roman"/>
          <w:sz w:val="32"/>
          <w:szCs w:val="32"/>
          <w:lang w:val="uk-UA"/>
        </w:rPr>
        <w:t>лися;</w:t>
      </w:r>
    </w:p>
    <w:p w:rsidR="00F8656B" w:rsidRDefault="00F8656B" w:rsidP="00F865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дещо затягти гвинт приладу воротком;</w:t>
      </w:r>
    </w:p>
    <w:p w:rsidR="00F8656B" w:rsidRDefault="00F8656B" w:rsidP="00F865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повернути кран подачі палива на стенді, щоб паливо заповнило вту</w:t>
      </w:r>
      <w:r>
        <w:rPr>
          <w:rFonts w:ascii="Times New Roman" w:hAnsi="Times New Roman"/>
          <w:sz w:val="32"/>
          <w:szCs w:val="32"/>
          <w:lang w:val="uk-UA"/>
        </w:rPr>
        <w:t>л</w:t>
      </w:r>
      <w:r>
        <w:rPr>
          <w:rFonts w:ascii="Times New Roman" w:hAnsi="Times New Roman"/>
          <w:sz w:val="32"/>
          <w:szCs w:val="32"/>
          <w:lang w:val="uk-UA"/>
        </w:rPr>
        <w:t>ку і поглиблення в склянці приладу, закрити кран;</w:t>
      </w:r>
    </w:p>
    <w:p w:rsidR="00F8656B" w:rsidRDefault="00F8656B" w:rsidP="00F865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розташувати плунжер у втулку таким чином, щоб він напря</w:t>
      </w:r>
      <w:r>
        <w:rPr>
          <w:rFonts w:ascii="Times New Roman" w:hAnsi="Times New Roman"/>
          <w:sz w:val="32"/>
          <w:szCs w:val="32"/>
          <w:lang w:val="uk-UA"/>
        </w:rPr>
        <w:t>м</w:t>
      </w:r>
      <w:r>
        <w:rPr>
          <w:rFonts w:ascii="Times New Roman" w:hAnsi="Times New Roman"/>
          <w:sz w:val="32"/>
          <w:szCs w:val="32"/>
          <w:lang w:val="uk-UA"/>
        </w:rPr>
        <w:t>ними ввійшов у паз втулки, при цьому риска на плунжері пов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нна бути звернена до оператора;</w:t>
      </w:r>
    </w:p>
    <w:p w:rsidR="00F8656B" w:rsidRDefault="00F8656B" w:rsidP="00F865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легко натиснути на плунжер рукою до появи помітного опору;</w:t>
      </w:r>
    </w:p>
    <w:p w:rsidR="00F8656B" w:rsidRDefault="00F8656B" w:rsidP="00F865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повернути навантажувальний важіль приладу до зіткнення з 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рцем плунжера, опустити його на плунжер, одночасно ввімкн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вши секундомір; у момент повного опускання навантажувал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ного важеля сек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ндомір виключити.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Зафіксований час характеризує гідравлічну щільність плунж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рної пари (він повинен бути не меншим 10с). Отримані результати занести в табл.37.1, порівняти з нормативними даними і зробити 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сновок щодо т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хнічного стану плунжерної пари.</w:t>
      </w:r>
    </w:p>
    <w:p w:rsidR="00F8656B" w:rsidRPr="00270558" w:rsidRDefault="00F8656B" w:rsidP="00F865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Таблиця 37.1</w:t>
      </w:r>
    </w:p>
    <w:p w:rsidR="00F8656B" w:rsidRDefault="00F8656B" w:rsidP="00F8656B">
      <w:pPr>
        <w:widowControl w:val="0"/>
        <w:shd w:val="clear" w:color="auto" w:fill="FFFFFF"/>
        <w:spacing w:after="0" w:line="240" w:lineRule="auto"/>
        <w:ind w:left="7887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випробувань плунжерної пари</w:t>
      </w:r>
    </w:p>
    <w:p w:rsidR="00F8656B" w:rsidRDefault="00F8656B" w:rsidP="00F8656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35"/>
        <w:gridCol w:w="1443"/>
        <w:gridCol w:w="1309"/>
        <w:gridCol w:w="1579"/>
        <w:gridCol w:w="1669"/>
      </w:tblGrid>
      <w:tr w:rsidR="00F8656B" w:rsidTr="00E52C87">
        <w:trPr>
          <w:trHeight w:val="707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вимірів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 за</w:t>
            </w:r>
          </w:p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Фактично</w:t>
            </w:r>
          </w:p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отримано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F8656B" w:rsidTr="00E52C87">
        <w:trPr>
          <w:trHeight w:hRule="exact" w:val="658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опускання навант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жувального важеля: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656B" w:rsidTr="00E52C87">
        <w:trPr>
          <w:trHeight w:hRule="exact" w:val="341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104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1–й замір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48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656B" w:rsidTr="00E52C87">
        <w:trPr>
          <w:trHeight w:hRule="exact" w:val="337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101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2–й замір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4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656B" w:rsidTr="00E52C87">
        <w:trPr>
          <w:trHeight w:hRule="exact" w:val="345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101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3–й замір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48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656B" w:rsidTr="00E52C87">
        <w:trPr>
          <w:trHeight w:hRule="exact" w:val="318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Середнє значення вим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61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ind w:left="4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56B" w:rsidRDefault="00F8656B" w:rsidP="00E52C8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8656B" w:rsidRDefault="00F8656B" w:rsidP="00F865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8656B" w:rsidRDefault="00F8656B" w:rsidP="00F865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Контрольні запитання</w:t>
      </w:r>
    </w:p>
    <w:p w:rsidR="00F8656B" w:rsidRDefault="00F8656B" w:rsidP="00F8656B">
      <w:pPr>
        <w:widowControl w:val="0"/>
        <w:numPr>
          <w:ilvl w:val="0"/>
          <w:numId w:val="3"/>
        </w:numPr>
        <w:shd w:val="clear" w:color="auto" w:fill="FFFFFF"/>
        <w:tabs>
          <w:tab w:val="left" w:pos="-22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Яким є принцип роботи нагнітальної секції ПНВТ?</w:t>
      </w:r>
    </w:p>
    <w:p w:rsidR="00F8656B" w:rsidRDefault="00F8656B" w:rsidP="00F865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Яким є принцип дії плунжерної пари?</w:t>
      </w:r>
    </w:p>
    <w:p w:rsidR="00F8656B" w:rsidRDefault="00F8656B" w:rsidP="00F865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Які характерні несправності плунжерної пари і їхні ознаки? </w:t>
      </w:r>
    </w:p>
    <w:p w:rsidR="00F8656B" w:rsidRDefault="00F8656B" w:rsidP="00F8656B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 показники характеризують гідравлічну щільність плунже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ної пари та яка процедура їх перевірки?</w:t>
      </w:r>
    </w:p>
    <w:p w:rsidR="00251DC4" w:rsidRPr="00F8656B" w:rsidRDefault="00251DC4">
      <w:pPr>
        <w:rPr>
          <w:lang w:val="uk-UA"/>
        </w:rPr>
      </w:pPr>
      <w:bookmarkStart w:id="0" w:name="_GoBack"/>
      <w:bookmarkEnd w:id="0"/>
    </w:p>
    <w:sectPr w:rsidR="00251DC4" w:rsidRPr="00F8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138C"/>
    <w:multiLevelType w:val="multilevel"/>
    <w:tmpl w:val="B6D0BF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349BD"/>
    <w:multiLevelType w:val="multilevel"/>
    <w:tmpl w:val="B6D0BF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35909"/>
    <w:multiLevelType w:val="hybridMultilevel"/>
    <w:tmpl w:val="00B0A92A"/>
    <w:lvl w:ilvl="0" w:tplc="710E83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B"/>
    <w:rsid w:val="00251DC4"/>
    <w:rsid w:val="00F8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ACB4-5D98-429B-994F-17550AB7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</dc:creator>
  <cp:keywords/>
  <dc:description/>
  <cp:lastModifiedBy>bnp</cp:lastModifiedBy>
  <cp:revision>1</cp:revision>
  <dcterms:created xsi:type="dcterms:W3CDTF">2016-03-03T08:33:00Z</dcterms:created>
  <dcterms:modified xsi:type="dcterms:W3CDTF">2016-03-03T08:34:00Z</dcterms:modified>
</cp:coreProperties>
</file>