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6B" w:rsidRDefault="00F8656B" w:rsidP="00F8656B">
      <w:pPr>
        <w:widowControl w:val="0"/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37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ПЕРЕВІРКА ТА РЕГУЛЮВАННЯ ПЛУНЖЕРНИХ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ПАР НАГНІТАЛЬНИХ СЕКЦІЙ ПНВТ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ДИЗЕЛЬНОГО ДВИГУНА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11"/>
        <w:jc w:val="both"/>
        <w:rPr>
          <w:rFonts w:ascii="Times New Roman" w:hAnsi="Times New Roman"/>
          <w:caps/>
          <w:sz w:val="32"/>
          <w:szCs w:val="32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Мета роботи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Засвоєння прийомів перевірки герметичності та гідравлічної щільності сполучень плунжерної пари ПНВТ, симптомів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неспра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ностей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та методики постановки діагнозу під час перевірки плунж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рної пари.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8656B" w:rsidRDefault="00F8656B" w:rsidP="00F865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8656B" w:rsidRDefault="00F8656B" w:rsidP="00F8656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Стенд моделі НІІАТ–625 (рис.37.1).</w:t>
      </w:r>
    </w:p>
    <w:p w:rsidR="00F8656B" w:rsidRDefault="00F8656B" w:rsidP="00F8656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Ручний пневматичний насос.</w:t>
      </w:r>
    </w:p>
    <w:p w:rsidR="00F8656B" w:rsidRDefault="00F8656B" w:rsidP="00F8656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Секундомір.</w:t>
      </w:r>
    </w:p>
    <w:p w:rsidR="00F8656B" w:rsidRDefault="00F8656B" w:rsidP="00F8656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Набір гайкових ключів і викрутка.</w:t>
      </w:r>
    </w:p>
    <w:p w:rsidR="00F8656B" w:rsidRDefault="00F8656B" w:rsidP="00F8656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Плунжерні пари паливних насосів високого тиску двигунів ЯМЗ–238 і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КамАЗ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–740, що перевіряються.</w:t>
      </w:r>
    </w:p>
    <w:p w:rsidR="00F8656B" w:rsidRDefault="00F8656B" w:rsidP="00F8656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Плакати та схеми.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Зміст і порядок виконання роботи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Плунжерна пара є основою кожної нагнітальної секції пали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ного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соса високого тиску. Кількість нагнітальних секцій ПНВТ дорівнює кіл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кості циліндрів двигуна. Плунжерна (прецизійна) пара складається із плунжера та гільзи. Ці деталі підбираються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селекти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один до одного із зазором 0,001...0,002 мм і в процесі експлуат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ції їх не можна розукомплектувати. Нижнім кінцем плунжер упир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в регулювальний гвинт, закручений у корпус роликового шт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вхача нагнітальної секції ПНВТ. Для попередження мимовільного вивертання регулювального гвинта передб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чена контргайка.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Плунжер насоса переміщується догори при набіганні кулачка на роликовий штовхач. Зворотне переміщення плунжера відбув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ється при збіганні кулачка з ролика під впливом пружини, що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вп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рається через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рілку в плунжер.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Робота нагнітальної секції ПНВТ (рис.37.1) складається з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ких 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дій: наповнення, зворотного перепуску, подачі, відсічення та переп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ску палива в зливальний канал.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85895" cy="2508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4" t="43460" r="31570" b="2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56B" w:rsidRDefault="00F8656B" w:rsidP="00F8656B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Рис.37.1. Схема роботи нагнітальної секції паливного насоса високого тиску:</w:t>
      </w:r>
    </w:p>
    <w:p w:rsidR="00F8656B" w:rsidRDefault="00F8656B" w:rsidP="00F8656B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наповнення;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б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 початок і кінець подачі палива; 1 – гільза;</w:t>
      </w:r>
    </w:p>
    <w:p w:rsidR="00F8656B" w:rsidRDefault="00F8656B" w:rsidP="00F8656B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2 </w:t>
      </w:r>
      <w:r>
        <w:rPr>
          <w:rFonts w:ascii="Times New Roman" w:hAnsi="Times New Roman"/>
          <w:sz w:val="28"/>
          <w:szCs w:val="28"/>
          <w:lang w:val="uk-UA"/>
        </w:rPr>
        <w:t xml:space="preserve">– відсічна крайка;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 xml:space="preserve">– зливальний отвір;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надплунжерна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порожнина;</w:t>
      </w:r>
    </w:p>
    <w:p w:rsidR="00F8656B" w:rsidRDefault="00F8656B" w:rsidP="00F8656B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uk-UA"/>
        </w:rPr>
        <w:t xml:space="preserve">– нагнітальний клапан;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sz w:val="28"/>
          <w:szCs w:val="28"/>
          <w:lang w:val="uk-UA"/>
        </w:rPr>
        <w:t xml:space="preserve">– штуцер; 7 – пружина;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8 </w:t>
      </w:r>
      <w:r>
        <w:rPr>
          <w:rFonts w:ascii="Times New Roman" w:hAnsi="Times New Roman"/>
          <w:sz w:val="28"/>
          <w:szCs w:val="28"/>
          <w:lang w:val="uk-UA"/>
        </w:rPr>
        <w:t>– впускний отвір;</w:t>
      </w:r>
    </w:p>
    <w:p w:rsidR="00F8656B" w:rsidRDefault="00F8656B" w:rsidP="00F8656B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sz w:val="28"/>
          <w:szCs w:val="28"/>
          <w:lang w:val="uk-UA"/>
        </w:rPr>
        <w:t xml:space="preserve">– плунжер;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10, 11 </w:t>
      </w:r>
      <w:r>
        <w:rPr>
          <w:rFonts w:ascii="Times New Roman" w:hAnsi="Times New Roman"/>
          <w:sz w:val="28"/>
          <w:szCs w:val="28"/>
          <w:lang w:val="uk-UA"/>
        </w:rPr>
        <w:t>– вертикальний і горизонтальний канали плунжера;</w:t>
      </w:r>
    </w:p>
    <w:p w:rsidR="00F8656B" w:rsidRDefault="00F8656B" w:rsidP="00F8656B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hanging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12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канал підводу у корпусі насоса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Наповнення паливом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надплунжерної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порожнини 4 у гільзі (рис.37.1, </w:t>
      </w:r>
      <w:r>
        <w:rPr>
          <w:rFonts w:ascii="Times New Roman" w:hAnsi="Times New Roman"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) відбувається при русі плунжера 9 до низу, коли він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криває випус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ний отвір 8. В цю мить паливо починає надходити в порожнину над пл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нжером, тому що вона перебуває під тиском, створюваним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паливопідк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чувальним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насосом. При переміщенні плунжера до гори під дією кулачка, що набігає, спочатку відбув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зворотний перепуск палива в канал підводу через впускний отвір 8. Як тільки торцева крайка плунжера перекриває впускний отвір, зворотний перепуск палива припиняється та різко підвищ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ється тиск палива, під дією якого нагнітальний клапан 5 відкрив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ється (рис.37.1, </w:t>
      </w:r>
      <w:r>
        <w:rPr>
          <w:rFonts w:ascii="Times New Roman" w:hAnsi="Times New Roman"/>
          <w:i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). Це  відповідає початку подачі палива, що надх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дить до форсунки з подальшим впорскуванням у ц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ліндр двигуна.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Подача палива нагнітальною секцією триває доти, поки за 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гою відсічної крайки 2 плунжера не почнеться перепуск палива в злив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льний канал насоса високого тиску через отвір 3 у гільзі плунжерної пари (оскільки тиск у ньому значно нижчий, ніж у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рожнині над плунжером). При цьому тиск над плунжером різко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дає і нагнітальний клапан швидко закривається, припиняючи под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чу палива (рис.37.1, </w:t>
      </w:r>
      <w:r>
        <w:rPr>
          <w:rFonts w:ascii="Times New Roman" w:hAnsi="Times New Roman"/>
          <w:i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).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Кількість палива, що подається нагнітальною секцією насоса з миті закриття впускного і до миті відкриття випускного отвору в г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льзі плу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жерної пари за один хід плунжера (активний хід) визначає теоретичну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дачу палива секцією. Дійсно подана кількість палива, тобто циклова подача відрізняється від теоретичної через витік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крізь зазори плу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жерної пари, а також інших факторів. Різниця між цикловою та теорети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ною подачами враховується коефіцієнтом подачі, рівним 0,75...0,9.</w:t>
      </w:r>
      <w:r w:rsidRPr="00CD453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Під час роботи нагнітальної секції ПНВТ при переміщенні плунж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ра догори тиск палива підвищується до 1,2...1,8 МПа, що спричиняє відкриття нагнітального клапана та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чаток подачі палива. Подальше перем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щення плунжера зумовлює збільшення тиску до 15...18,5 МПа, залежно від марки ПНВТ. В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зультаті цього відкривається голка форсунки і здійснюється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кування палива в циліндр двигуна, що триває до моменту досягне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відсічною кра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кою плунжера випускного отвору в гільзі. Робочі процеси нагніт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льної секції ПНВТ характеризують його роботу при постійній под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чі палива і незмінній частоті обертання колінчатого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та нава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таження двигуна.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Порядок перевірки плунжерної пари на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герметичність на стенді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Перед перевіркою плунжерної пари на герметичність необхі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но пі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готувати стенд до роботи. Після цього слід: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оглянути торець втулки плунжера, що перевіряється, при ная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ності рисок і слідів корозії торець втулки притерти за допом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гою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притир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чних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плиток;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змочити плунжерну пару в дизельному паливі та установити втулку плунжера в склянку приладу для перевірки плунжерних пар таким чином, щоб паз втулки збігся з віссю регулювального гвинта прил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ду. Після чого гвинт загорнути до відмови;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установити склянку приладу разом із втулкою плунжера в ко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 xml:space="preserve">пус приладу, повернувши її так, щоб виступи склянки зайшли під відповідні виступи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корпуса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, а отвори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паливоживлення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збі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>лися;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дещо затягти гвинт приладу воротком;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повернути кран подачі палива на стенді, щоб паливо заповнило вту</w:t>
      </w:r>
      <w:r>
        <w:rPr>
          <w:rFonts w:ascii="Times New Roman" w:hAnsi="Times New Roman"/>
          <w:sz w:val="32"/>
          <w:szCs w:val="32"/>
          <w:lang w:val="uk-UA"/>
        </w:rPr>
        <w:t>л</w:t>
      </w:r>
      <w:r>
        <w:rPr>
          <w:rFonts w:ascii="Times New Roman" w:hAnsi="Times New Roman"/>
          <w:sz w:val="32"/>
          <w:szCs w:val="32"/>
          <w:lang w:val="uk-UA"/>
        </w:rPr>
        <w:t>ку і поглиблення в склянці приладу, закрити кран;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розташувати плунжер у втулку таким чином, щоб він напря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ними ввійшов у паз втулки, при цьому риска на плунжері пов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нна бути звернена до оператора;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легко натиснути на плунжер рукою до появи помітного опору;</w:t>
      </w:r>
    </w:p>
    <w:p w:rsidR="00F8656B" w:rsidRDefault="00F8656B" w:rsidP="00F865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повернути навантажувальний важіль приладу до зіткнення з 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рцем плунжера, опустити його на плунжер, одночасно ввімкн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вши секундомір; у момент повного опускання навантажувал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ного важеля сек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ндомір виключити.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Зафіксований час характеризує гідравлічну щільність плунж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рної пари (він повинен бути не меншим 10с). Отримані результати занести в табл.37.1, порівняти з нормативними даними і зробити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сновок щодо т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хнічного стану плунжерної пари.</w:t>
      </w:r>
    </w:p>
    <w:p w:rsidR="00F8656B" w:rsidRPr="00270558" w:rsidRDefault="00F8656B" w:rsidP="00F8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Таблиця 37.1</w:t>
      </w:r>
    </w:p>
    <w:p w:rsidR="00F8656B" w:rsidRDefault="00F8656B" w:rsidP="00F8656B">
      <w:pPr>
        <w:widowControl w:val="0"/>
        <w:shd w:val="clear" w:color="auto" w:fill="FFFFFF"/>
        <w:spacing w:after="0" w:line="240" w:lineRule="auto"/>
        <w:ind w:left="788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випробувань плунжерної пари</w:t>
      </w:r>
    </w:p>
    <w:p w:rsidR="00F8656B" w:rsidRDefault="00F8656B" w:rsidP="00F865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5"/>
        <w:gridCol w:w="1443"/>
        <w:gridCol w:w="1309"/>
        <w:gridCol w:w="1579"/>
        <w:gridCol w:w="1669"/>
      </w:tblGrid>
      <w:tr w:rsidR="00F8656B" w:rsidTr="00E52C87">
        <w:trPr>
          <w:trHeight w:val="707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Параметр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</w:t>
            </w:r>
          </w:p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вимірів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Норма за</w:t>
            </w:r>
          </w:p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Фактично</w:t>
            </w:r>
          </w:p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отримано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F8656B" w:rsidTr="00E52C87">
        <w:trPr>
          <w:trHeight w:hRule="exact" w:val="65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 опускання навант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жувального важеля: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656B" w:rsidTr="00E52C87">
        <w:trPr>
          <w:trHeight w:hRule="exact" w:val="341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10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1–й замір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6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48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656B" w:rsidTr="00E52C87">
        <w:trPr>
          <w:trHeight w:hRule="exact" w:val="337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101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2–й замір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6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49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656B" w:rsidTr="00E52C87">
        <w:trPr>
          <w:trHeight w:hRule="exact" w:val="345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101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3–й замір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6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48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656B" w:rsidTr="00E52C87">
        <w:trPr>
          <w:trHeight w:hRule="exact" w:val="318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1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Середнє значення вим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6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ind w:left="49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56B" w:rsidRDefault="00F8656B" w:rsidP="00E52C8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8656B" w:rsidRDefault="00F8656B" w:rsidP="00F865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F8656B" w:rsidRDefault="00F8656B" w:rsidP="00F8656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F8656B" w:rsidRDefault="00F8656B" w:rsidP="00F8656B">
      <w:pPr>
        <w:widowControl w:val="0"/>
        <w:numPr>
          <w:ilvl w:val="0"/>
          <w:numId w:val="3"/>
        </w:numPr>
        <w:shd w:val="clear" w:color="auto" w:fill="FFFFFF"/>
        <w:tabs>
          <w:tab w:val="left" w:pos="-22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Яким є принцип роботи нагнітальної секції ПНВТ?</w:t>
      </w:r>
    </w:p>
    <w:p w:rsidR="00F8656B" w:rsidRDefault="00F8656B" w:rsidP="00F865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Яким є принцип дії плунжерної пари?</w:t>
      </w:r>
    </w:p>
    <w:p w:rsidR="00F8656B" w:rsidRDefault="00F8656B" w:rsidP="00F865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Які характерні несправності плунжерної пари і їхні ознаки? </w:t>
      </w:r>
    </w:p>
    <w:p w:rsidR="00F8656B" w:rsidRDefault="00F8656B" w:rsidP="00F8656B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показники характеризують гідравлічну щільність плунже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ної пари та яка процедура їх перевірки?</w:t>
      </w:r>
    </w:p>
    <w:p w:rsidR="00251DC4" w:rsidRPr="00F8656B" w:rsidRDefault="00251DC4">
      <w:pPr>
        <w:rPr>
          <w:lang w:val="uk-UA"/>
        </w:rPr>
      </w:pPr>
      <w:bookmarkStart w:id="0" w:name="_GoBack"/>
      <w:bookmarkEnd w:id="0"/>
    </w:p>
    <w:sectPr w:rsidR="00251DC4" w:rsidRPr="00F8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138C"/>
    <w:multiLevelType w:val="multilevel"/>
    <w:tmpl w:val="B6D0BF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349BD"/>
    <w:multiLevelType w:val="multilevel"/>
    <w:tmpl w:val="B6D0BF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35909"/>
    <w:multiLevelType w:val="hybridMultilevel"/>
    <w:tmpl w:val="00B0A92A"/>
    <w:lvl w:ilvl="0" w:tplc="710E83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B"/>
    <w:rsid w:val="00251DC4"/>
    <w:rsid w:val="00F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ACB4-5D98-429B-994F-17550AB7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2016-03-03T08:33:00Z</dcterms:created>
  <dcterms:modified xsi:type="dcterms:W3CDTF">2016-03-03T08:34:00Z</dcterms:modified>
</cp:coreProperties>
</file>