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 27</w:t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ПЕРЕВІРКА ПРАЦЕЗДАТНОСТІ ЕЛЕМЕНТІВ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СИСТЕМИ ВПОРСКУВАННЯ БЕНЗИНОВИХ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ДВИГУНІВ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iCs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36"/>
          <w:szCs w:val="36"/>
          <w:lang w:val="uk-UA"/>
        </w:rPr>
      </w:pPr>
      <w:r>
        <w:rPr>
          <w:rFonts w:ascii="Times New Roman" w:hAnsi="Times New Roman"/>
          <w:b/>
          <w:iCs/>
          <w:sz w:val="36"/>
          <w:szCs w:val="36"/>
          <w:lang w:val="uk-UA"/>
        </w:rPr>
        <w:t>Мета роботи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Ознайомитися з засобами та практичними прийомами переві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ки і регулювання систем впорскування палива, симптомами неспр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вностей системи впорскування, набувши навичок усувати зазначені несправності.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Автомобіль VW–Golf.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Плакати та схеми.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Контрольний манометр V.A.G 1318.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Перехідник VAG 1318/10.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Комплект допоміжних проводів.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Світлодіодний пробник.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Мультиметр цифровий.</w:t>
      </w:r>
    </w:p>
    <w:p w:rsidR="00B00BE2" w:rsidRDefault="00B00BE2" w:rsidP="00B00BE2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Мірна склянка.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Зміст і порядок виконання роботи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Наведено загальні відомості про комплексну систему керува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гуном « Digifant»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розроблена фірмою «VW» і встановлюється на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ни з літерним позначенням РВ, PF, PG, GT і 2Е. Електронний блок здійснює керування запалюванням і впорскуванням одночасно. 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стема впорскування, в основному відповідає системі L–Jetronic фі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ми «Bosch».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Комплексна система керування двигуном (КСУД) «Digifant» (рис.27.1), фірми Volkswagen, складається із двох підсистем: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впорскуванням палива та керування кутом випередження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палювання. Робота всіх підсистем керується електронним контр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лером, що є спеці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лізованим мікрокомп’ютером.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Підсистема керування впорскуванням палива відповідає за підготовку паливної суміші та її подачу у двигун. При цьому до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жного цилін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ра, паливна суміш подається окремою форсункою. Працює підсистема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ким чином.</w:t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8700" cy="381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Рис.27.1. Структурна схема системи керування двигуном – «Digifant»: 1 – п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ливний бак; 2 – паливний фільтр; 3 – паливний насос; 4 – електронний блок керування; 5 – регулятор тиску палива; 6 – накопичувач палива; 7 – форсунки; 8 – пускова форсу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ка; 9 – гвинт регулювання холостого ходу; 10 – дросельна заслінка; 11 – вимірник потоку повітря; 12 – реле керування; 13 – лямбд-зонд; 14 – датчик детонації; 15 – термодатчик охолоджувальної рідини; 16 – розп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дільник запалювання; 17 – клапан стабілізації холостого ходу; 18 – гвинт р</w:t>
      </w: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гулювання СО; 19 – акумуляторна батарея; 20 – замок зап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лювання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Паливний електричний насос під тиском 0,25 Мпа подає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 з бензобаку крізь паливний фільтр до паливного тракту і далі до форсунок. Наприкінці паливного тракту встановлений регулятор тиску палива в си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темі, що підтримує постійний тиск впорскування та здійснює злив надлишків палива знову до паливного баку, тим самим, забезпечуючи, ци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куляцію палива в системі і виключає утворенню в ній пари палива.</w:t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Залежно від інформації, отриманої від датчиків встановлених на двигуні, ЕБК управляє форсунками, таким чином, регулюючи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к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лькість паливної суміші, що подається у циліндри. При цьому вр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ховується об‘єм і температура усмоктуваного повітря, частота обе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тання і кут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ложення колінчатого вала, навантаження двигуна та температура його охолоджувальної рідини. Крім того, при встано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леному лямбда-зонді, ЕБК врах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вує і його інформацію, тим самим, підтримуючи оптимальний вміст шк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дливих домішок у вихлопних газах.</w:t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Основним параметром, що визначає дозування палива, є об’єм всм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ктуваного повітря. Повітряний потік, що надходить крізь фільтр, відхиляє на певний кут напірну заслінку, що пов’язана з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тенціометричним да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чиком кута відхилення цієї заслінки. Сигнал з датчика щодо положення повітряної заслінки надходить в електр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нний блок керування (ЕБК), який визначає потрібну кількість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ва в цю мить часу і видає відповідні си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нали керування на відкриття форсунок протягом необхідного часу. Нез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лежно від положення впускних клапанів, впорскування палива здійснюється двічі на ко</w:t>
      </w:r>
      <w:r>
        <w:rPr>
          <w:rFonts w:ascii="Times New Roman" w:hAnsi="Times New Roman"/>
          <w:sz w:val="32"/>
          <w:szCs w:val="32"/>
          <w:lang w:val="uk-UA"/>
        </w:rPr>
        <w:t>ж</w:t>
      </w:r>
      <w:r>
        <w:rPr>
          <w:rFonts w:ascii="Times New Roman" w:hAnsi="Times New Roman"/>
          <w:sz w:val="32"/>
          <w:szCs w:val="32"/>
          <w:lang w:val="uk-UA"/>
        </w:rPr>
        <w:t>ний оберт колінчатого вала. Якщо впускний клапан закритий,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 залишається у впускному колекторі до наступного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криття впускного клапана даного циліндра.</w:t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перевищенні заданої частоти обертання двигуна або а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жимі на примусової холостої ходи ЕБК припиняє керування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нками, тим с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мим, припиняючи подачу палива в циліндри двигуна.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Дозування подачі повітря під час запуску, прогріву та на хол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стій ходи здійснюється клапаном стабілізації холостої ходи.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запуску холодного двигуна контролер КСКД двигуна «РВ»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дає команди на збільшення тривалості відкриття форсунок подачі палива, а на двигуні «2Е» додаткова кількість палива впор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кується за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мандами контролера пусковою форсункою.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Ступінь збагачення суміші визначається контролером залежно від температури охолоджувальної рідини, часу роботи стартера і 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стоти обертання колінчатого вала.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 запуску, як холодного, так і гарячого двигуна до контр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лера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дходить електричний сигнал із клеми «50» стартера про час його вмикання, а також сигнал від датчика температури охолодж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вальної рідини. Пі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ля їхньої обробки контролер визначає необхідну тривалість відкриття форсунок, забезпечуючи надійний запуск дв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гуна незалежно від його те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 xml:space="preserve">пературного стану. Під час прогріву двигуна контролер визначає необхідні ступені збагачення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паливн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повітряної суміші на основі інфо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мації від датчика температури охолоджувальної рідини і відповідним чином збільшує час відкр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того стану форсунок подачі палива (двигун «РВ») або пускової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сунки (двигун «2Е»). Одночасно контролер адаптує струм керува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електромагнітного клапана стабілізації холостого ходу до темп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ратури охолоджувальної рідини. Заслінка клапана прикривається. У результаті горюча суміш збагачується, що забезпечує роботу двиг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на на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лостій ході із прискореною частотою обертання. При роботі двигуна на холостій ході контролер одержує сигнал частоти обе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тання колінчатого вала від датчика Холла, вмонтованого в розпод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льник запалювання, а також сигнал навантаження двигуна від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микача холостої ходи та вимик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ча повного навантаження (двигун «РВ»), або датчика положення дросел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ної заслінки (двигун «2Е») і порівнює отриману інформацію із запрограмованим значенням ча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тоти обертання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лінчатого вала під час холостої ходи. На двигуні «2Е» – датчик положення дросельної заслінки потенці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метричного типу, розміщений на осі дросельної заслінки, видає на контролер сигнал щодо навантаження двигуна. На двигуні «РВ» датчики поз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ційного типу встановлені на осі дросельної заслінки. Сигнали з да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чиків служать для визначення режиму роботи двигуна (холоста хода або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вний дросель). При відхиленні частоти обертання колінчатого вала від запрограмованої величини контролер збільшує або зме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шує струм сигналу керування, що подається на електромагнітний клапан стабілізації холо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того ходу, шток якого відповідним чином змінює прохідний перетин обхідного каналу, виконаного паралельно др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сельній заслінці. Це призводить до збільшення, або зменшення об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ртів холостої ходи. На автомобілях з кондиціонером і гідропідс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лювачем рульового керування за командами контролера режим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лостої ходи збільшується на 100 хв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Блок керування регулює відповідно заміряним кількостям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вітря та частоти обертання колінчатого вала двигуна – час і кіл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кість впорскува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Додаткові датчики дозволяють точно дозувати паливо в різних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експлуатаційних режимах. Клапан керування стабілізує частоту обертання на холостій ході, особливо під час фази прогріву, або я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що двигун с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льно завантажений ввімкненими споживачами.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Датчик-вимикач положення дросельної заслінки розташов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ється безпосередньо на валу дросельної заслінки. Він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сигналізує ЕБК про положення дросельної заслінки під час холостої ходи і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вної потужності. Це стосується керування вимикачем подачі палива, доки замкнені контакти датчика-вимикача холостої ходи, при ча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тоті обертання, що перев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щує 1500 хв</w:t>
      </w:r>
      <w:r>
        <w:rPr>
          <w:rFonts w:ascii="Times New Roman" w:hAnsi="Times New Roman"/>
          <w:sz w:val="32"/>
          <w:szCs w:val="32"/>
          <w:vertAlign w:val="superscript"/>
          <w:lang w:val="uk-UA"/>
        </w:rPr>
        <w:t>–1</w:t>
      </w:r>
      <w:r>
        <w:rPr>
          <w:rFonts w:ascii="Times New Roman" w:hAnsi="Times New Roman"/>
          <w:sz w:val="32"/>
          <w:szCs w:val="32"/>
          <w:lang w:val="uk-UA"/>
        </w:rPr>
        <w:t xml:space="preserve"> (примусова холоста хода), ЕБК повинен припинити подачу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 у двигун.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Лямбда-зонд (кисневий датчик), установлений в автомобілях з регульованим каталізатором, вимірює вміст кисню в потоці відпр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цьованих газів, посилаючи відповідні електросигнали ЕБК. Оста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ній змінює якість паливно-повітряної суміші таким чином, щоб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працьовані гази щона</w:t>
      </w:r>
      <w:r>
        <w:rPr>
          <w:rFonts w:ascii="Times New Roman" w:hAnsi="Times New Roman"/>
          <w:sz w:val="32"/>
          <w:szCs w:val="32"/>
          <w:lang w:val="uk-UA"/>
        </w:rPr>
        <w:t>й</w:t>
      </w:r>
      <w:r>
        <w:rPr>
          <w:rFonts w:ascii="Times New Roman" w:hAnsi="Times New Roman"/>
          <w:sz w:val="32"/>
          <w:szCs w:val="32"/>
          <w:lang w:val="uk-UA"/>
        </w:rPr>
        <w:t>краще спалювались у каталізаторі.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Регулятор (акумулятор) тиску в розширювальній магістралі служить для підтримки тиску в паливній системі 250 кПа. Гасник коливань знижує коливання тиску в каналі повернення палива.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Повітря засмоктується двигуном крізь повітряний фільтр і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вітр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забірну трубу та вимірюється витратоміром повітря. У корпусі витратоміра розташована заслінка, що відхиляється потоком мин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ючого через неї повітря на певний кут. Кутове положення заслінки служить мірою об‘єму повітря. Інформація про кількість повітря передається в ЕБК з потенці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метра.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Додаткові чутливі елементи та датчики забезпечують подачу потр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бної кількості палива зокрема в екстремальних ситуаціях руху:</w:t>
      </w:r>
    </w:p>
    <w:p w:rsidR="00B00BE2" w:rsidRDefault="00B00BE2" w:rsidP="00B00B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форсунка пуску холодного двигуна впорскує у впускний коле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тор додаткове паливо для забезпечення пуску двигуна;</w:t>
      </w:r>
    </w:p>
    <w:p w:rsidR="00B00BE2" w:rsidRDefault="00B00BE2" w:rsidP="00B00B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термочасовий вимикач визначає тривалість впорскування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сункою пуску холодного двигуна;</w:t>
      </w:r>
    </w:p>
    <w:p w:rsidR="00B00BE2" w:rsidRDefault="00B00BE2" w:rsidP="00B00B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стабілізація частоти обертання колінчатого вала двигуна в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цесі розігріву забезпечується додатковою повітряною заслі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кою;</w:t>
      </w:r>
    </w:p>
    <w:p w:rsidR="00B00BE2" w:rsidRDefault="00B00BE2" w:rsidP="00B00BE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вимикач дросельної заслінки розташовується безпосередньо на осі ц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єї заслінки.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Порядок виконання роботи</w:t>
      </w:r>
    </w:p>
    <w:p w:rsidR="00B00BE2" w:rsidRDefault="00B00BE2" w:rsidP="00B00BE2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>Перевірка регулятора тиску палива та залишкового надли</w:t>
      </w: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>ш</w:t>
      </w: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>кового тиску в системі живлення.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Регулятор тиску палива управляє їм у залежності від тиску у впускному колекторі. Продуктивність бензонасоса повинна відпов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дати норм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тивній шляхом перевірки за встановленою методикою.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3139A5"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Примітка</w:t>
      </w:r>
      <w:r w:rsidRPr="003139A5">
        <w:rPr>
          <w:rFonts w:ascii="Times New Roman" w:hAnsi="Times New Roman"/>
          <w:b/>
          <w:bCs/>
          <w:iCs/>
          <w:sz w:val="32"/>
          <w:szCs w:val="32"/>
          <w:lang w:val="uk-UA"/>
        </w:rPr>
        <w:t>.</w:t>
      </w:r>
      <w:r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Щоб уникнути розбризкування бензину при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від’єднанні топливопроводів прикривайте місця розстикування 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тиральними кінц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ми.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Підключити контрольний манометр V.A.G 1318.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>Увага.</w:t>
      </w:r>
      <w:r>
        <w:rPr>
          <w:rFonts w:ascii="Times New Roman" w:hAnsi="Times New Roman"/>
          <w:b/>
          <w:bCs/>
          <w:i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iCs/>
          <w:sz w:val="32"/>
          <w:szCs w:val="32"/>
          <w:lang w:val="uk-UA"/>
        </w:rPr>
        <w:t>Запірний кран контрольного манометра повинен бути закритий (рукоятка крана повинна бути розташована поперек пот</w:t>
      </w:r>
      <w:r>
        <w:rPr>
          <w:rFonts w:ascii="Times New Roman" w:hAnsi="Times New Roman"/>
          <w:iCs/>
          <w:sz w:val="32"/>
          <w:szCs w:val="32"/>
          <w:lang w:val="uk-UA"/>
        </w:rPr>
        <w:t>о</w:t>
      </w:r>
      <w:r>
        <w:rPr>
          <w:rFonts w:ascii="Times New Roman" w:hAnsi="Times New Roman"/>
          <w:iCs/>
          <w:sz w:val="32"/>
          <w:szCs w:val="32"/>
          <w:lang w:val="uk-UA"/>
        </w:rPr>
        <w:t>ку, як пок</w:t>
      </w:r>
      <w:r>
        <w:rPr>
          <w:rFonts w:ascii="Times New Roman" w:hAnsi="Times New Roman"/>
          <w:iCs/>
          <w:sz w:val="32"/>
          <w:szCs w:val="32"/>
          <w:lang w:val="uk-UA"/>
        </w:rPr>
        <w:t>а</w:t>
      </w:r>
      <w:r>
        <w:rPr>
          <w:rFonts w:ascii="Times New Roman" w:hAnsi="Times New Roman"/>
          <w:iCs/>
          <w:sz w:val="32"/>
          <w:szCs w:val="32"/>
          <w:lang w:val="uk-UA"/>
        </w:rPr>
        <w:t>зано стрілкою). Операції, виконуються на автомобілях, випущених до л</w:t>
      </w:r>
      <w:r>
        <w:rPr>
          <w:rFonts w:ascii="Times New Roman" w:hAnsi="Times New Roman"/>
          <w:iCs/>
          <w:sz w:val="32"/>
          <w:szCs w:val="32"/>
          <w:lang w:val="uk-UA"/>
        </w:rPr>
        <w:t>и</w:t>
      </w:r>
      <w:r>
        <w:rPr>
          <w:rFonts w:ascii="Times New Roman" w:hAnsi="Times New Roman"/>
          <w:iCs/>
          <w:sz w:val="32"/>
          <w:szCs w:val="32"/>
          <w:lang w:val="uk-UA"/>
        </w:rPr>
        <w:t>пня 1993 р.</w:t>
      </w:r>
    </w:p>
    <w:p w:rsidR="00B00BE2" w:rsidRDefault="00B00BE2" w:rsidP="00B00BE2">
      <w:pPr>
        <w:widowControl w:val="0"/>
        <w:shd w:val="clear" w:color="auto" w:fill="FFFFFF"/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Від’єднати паливопровід 1 від штуцера 2 на пусковому клапані (рис.27.2).</w:t>
      </w:r>
    </w:p>
    <w:p w:rsidR="00B00BE2" w:rsidRDefault="00B00BE2" w:rsidP="00B00BE2">
      <w:pPr>
        <w:widowControl w:val="0"/>
        <w:shd w:val="clear" w:color="auto" w:fill="FFFFFF"/>
        <w:tabs>
          <w:tab w:val="left" w:pos="-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Приєднати контрольний манометр V.A.G 1318 за допомогою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ходника VAG 1318/10 до паливопроводу 1.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Вивернути з бензорозподілювача різьбову пробку 1 та завдяки перехіднику V.A.G 1318/1 приєднати до нього контрольний ман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метр V.A.G 1318 (рис.27.2). Завести двигун для роботи в режимі х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лостої ходи. Вим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ряти тиск палива.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Нормативна вимога: надлишковий тиск повинний бути на рівні 2,5 бар.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Від’єднати вакуумний шланг (рис.27.3) від показаного стрі</w:t>
      </w:r>
      <w:r>
        <w:rPr>
          <w:rFonts w:ascii="Times New Roman" w:hAnsi="Times New Roman"/>
          <w:sz w:val="32"/>
          <w:szCs w:val="32"/>
          <w:lang w:val="uk-UA"/>
        </w:rPr>
        <w:t>л</w:t>
      </w:r>
      <w:r>
        <w:rPr>
          <w:rFonts w:ascii="Times New Roman" w:hAnsi="Times New Roman"/>
          <w:sz w:val="32"/>
          <w:szCs w:val="32"/>
          <w:lang w:val="uk-UA"/>
        </w:rPr>
        <w:t>кою трійника регулятора тиску палива. При цьому надлишковий тиск палива повинен зрости приблизно до 3,0 бар.</w:t>
      </w: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11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867400" cy="194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E2" w:rsidRDefault="00B00BE2" w:rsidP="00B00BE2">
      <w:pPr>
        <w:widowControl w:val="0"/>
        <w:shd w:val="clear" w:color="auto" w:fill="FFFFFF"/>
        <w:tabs>
          <w:tab w:val="left" w:pos="644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tabs>
          <w:tab w:val="left" w:pos="-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A66AF">
        <w:rPr>
          <w:rFonts w:ascii="Times New Roman" w:hAnsi="Times New Roman"/>
          <w:sz w:val="28"/>
          <w:szCs w:val="28"/>
          <w:lang w:val="uk-UA"/>
        </w:rPr>
        <w:t>Рис.27.2.</w:t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  <w:t xml:space="preserve"> Рис.27.3.</w:t>
      </w:r>
    </w:p>
    <w:p w:rsidR="00B00BE2" w:rsidRDefault="00B00BE2" w:rsidP="00B00BE2">
      <w:pPr>
        <w:widowControl w:val="0"/>
        <w:shd w:val="clear" w:color="auto" w:fill="FFFFFF"/>
        <w:tabs>
          <w:tab w:val="left" w:pos="644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Вимкнути запалювання. Перевірити герметичність системи та зб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реження в ній залишкового надлишкового тиску, стежачи за його падінням по шкалі манометру. Протягом 10 хв. Воно ще повинне залишатися на рівні не нижче 2 бар.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 xml:space="preserve">Увага. </w:t>
      </w:r>
      <w:r>
        <w:rPr>
          <w:rFonts w:ascii="Times New Roman" w:hAnsi="Times New Roman"/>
          <w:sz w:val="32"/>
          <w:szCs w:val="32"/>
          <w:lang w:val="uk-UA"/>
        </w:rPr>
        <w:t>Якщо залишковий надлишковий тиск падає нижче 2 бар, то виконати наступне.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Завести двигун для роботи на холостій ході. Коли в системі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буде досягнуто необхідний тиск, вимкнути запалювання і одноча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но наглухо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ретиснути зливальний шланг (із синім маркуванням) поблизу бензорозп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дільника.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Простежити манометром за падінням тиску. Якщо тиск зме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шуват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ся не буде, то замінити регулятор тиску палива.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Якщо тиск знову впаде, то виконати наступне. Перевірити зв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ро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ний клапан бензонасоса. Перевірити на герметичність місця приєднання паливопроводів, ущільнювальні кільця круглого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тину на бензорозподіл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нику та клапанні форсунки. Перевірити на герметичність контрольний манометр із арматурою в зборі.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 xml:space="preserve">Примітка. </w:t>
      </w:r>
      <w:r>
        <w:rPr>
          <w:rFonts w:ascii="Times New Roman" w:hAnsi="Times New Roman"/>
          <w:sz w:val="32"/>
          <w:szCs w:val="32"/>
          <w:lang w:val="uk-UA"/>
        </w:rPr>
        <w:t>Перед зняттям контрольного манометра варто стравити тиск у системі живлення, відкривши для цього запірний кран і підстави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ши ємність під відкритий кінець шланга.</w:t>
      </w:r>
    </w:p>
    <w:p w:rsidR="00B00BE2" w:rsidRDefault="00B00BE2" w:rsidP="00B00BE2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sz w:val="32"/>
          <w:szCs w:val="32"/>
          <w:lang w:val="uk-UA"/>
        </w:rPr>
        <w:t>Перевірка пускового клапана.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lang w:val="uk-UA"/>
        </w:rPr>
        <w:t xml:space="preserve">Примітка. </w:t>
      </w:r>
      <w:r>
        <w:rPr>
          <w:rFonts w:ascii="Times New Roman" w:hAnsi="Times New Roman"/>
          <w:sz w:val="32"/>
          <w:szCs w:val="32"/>
          <w:lang w:val="uk-UA"/>
        </w:rPr>
        <w:t>Пусковий клапан впорскує паливо лише при те</w:t>
      </w:r>
      <w:r>
        <w:rPr>
          <w:rFonts w:ascii="Times New Roman" w:hAnsi="Times New Roman"/>
          <w:sz w:val="32"/>
          <w:szCs w:val="32"/>
          <w:lang w:val="uk-UA"/>
        </w:rPr>
        <w:t>м</w:t>
      </w:r>
      <w:r>
        <w:rPr>
          <w:rFonts w:ascii="Times New Roman" w:hAnsi="Times New Roman"/>
          <w:sz w:val="32"/>
          <w:szCs w:val="32"/>
          <w:lang w:val="uk-UA"/>
        </w:rPr>
        <w:t>пер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турі охолоджувальної рідини до 15 °С.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Зняти </w:t>
      </w:r>
      <w:r>
        <w:rPr>
          <w:rFonts w:ascii="Times New Roman" w:hAnsi="Times New Roman"/>
          <w:bCs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 xml:space="preserve"> бензорозподільника 2 штепсельну колодку 1 клапа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них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сунок (рис.27.4).</w:t>
      </w:r>
    </w:p>
    <w:p w:rsidR="00B00BE2" w:rsidRDefault="00B00BE2" w:rsidP="00B00BE2">
      <w:pPr>
        <w:widowControl w:val="0"/>
        <w:shd w:val="clear" w:color="auto" w:fill="FFFFFF"/>
        <w:tabs>
          <w:tab w:val="left" w:pos="6377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подачі напруги на пусковий клапан. Зняти з пуск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вого клапана (N17) штепсельну колодку (рис.27.5) і, скориставшись допоміжними проводами з комплекту V.A.G 1594, приєднати све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лодіодний 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бник V.A.G 1527.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Зняти штепсельну колодку з датчика (G62) температури рід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ни в системі охолодження. Налаштувати блок А цифрового поте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ціометра V.A.G 1630 на опір 3,8 кОм, що відповідає температурі 10°С, і допоміжними проводами з комплекту V.A.G 1594 приєднати до контактів 1 і 3 зняті штепсельні колодки.</w:t>
      </w:r>
    </w:p>
    <w:p w:rsidR="00B00BE2" w:rsidRPr="001A6815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B00BE2" w:rsidRDefault="00B00BE2" w:rsidP="00B00BE2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69595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A66AF">
        <w:rPr>
          <w:rFonts w:ascii="Times New Roman" w:hAnsi="Times New Roman"/>
          <w:sz w:val="28"/>
          <w:szCs w:val="28"/>
          <w:lang w:val="uk-UA"/>
        </w:rPr>
        <w:t>Рис. 27.4.</w:t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  <w:t>Рис. 27.5.</w:t>
      </w:r>
    </w:p>
    <w:p w:rsidR="00B00BE2" w:rsidRDefault="00B00BE2" w:rsidP="00B00BE2">
      <w:pPr>
        <w:widowControl w:val="0"/>
        <w:shd w:val="clear" w:color="auto" w:fill="FFFFFF"/>
        <w:tabs>
          <w:tab w:val="left" w:pos="637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00BE2" w:rsidRDefault="00B00BE2" w:rsidP="00B00BE2">
      <w:pPr>
        <w:widowControl w:val="0"/>
        <w:tabs>
          <w:tab w:val="left" w:pos="405"/>
          <w:tab w:val="left" w:pos="4845"/>
          <w:tab w:val="left" w:pos="4875"/>
          <w:tab w:val="left" w:pos="73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B00BE2" w:rsidRDefault="00B00BE2" w:rsidP="00B00BE2">
      <w:pPr>
        <w:widowControl w:val="0"/>
        <w:spacing w:after="0" w:line="240" w:lineRule="auto"/>
        <w:ind w:hanging="11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197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A66AF">
        <w:rPr>
          <w:rFonts w:ascii="Times New Roman" w:hAnsi="Times New Roman"/>
          <w:sz w:val="28"/>
          <w:szCs w:val="28"/>
          <w:lang w:val="uk-UA"/>
        </w:rPr>
        <w:t>Рис. 27.6.</w:t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</w:r>
      <w:r w:rsidRPr="006A66AF">
        <w:rPr>
          <w:rFonts w:ascii="Times New Roman" w:hAnsi="Times New Roman"/>
          <w:sz w:val="28"/>
          <w:szCs w:val="28"/>
          <w:lang w:val="uk-UA"/>
        </w:rPr>
        <w:tab/>
        <w:t>Рис. 27.7.</w:t>
      </w:r>
    </w:p>
    <w:p w:rsidR="00B00BE2" w:rsidRDefault="00B00BE2" w:rsidP="00B00BE2">
      <w:pPr>
        <w:widowControl w:val="0"/>
        <w:shd w:val="clear" w:color="auto" w:fill="FFFFFF"/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Ввімкнути стартер. При цьому світлодіод світитися не пов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нен. 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противному випадку виконати наступне. Підключити ште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сел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ну колодку до пускового клапана. Провести електротестування та, якщо 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добиться, то й замінити авторегулятор (Л 69) системи «Digifant».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Перевірка пускового клапана (N17):</w:t>
      </w:r>
    </w:p>
    <w:p w:rsidR="00B00BE2" w:rsidRDefault="00B00BE2" w:rsidP="00B00B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Cs/>
          <w:sz w:val="32"/>
          <w:szCs w:val="32"/>
          <w:lang w:val="uk-UA"/>
        </w:rPr>
        <w:t>напруга живлення повинна відповідати нормі;</w:t>
      </w:r>
    </w:p>
    <w:p w:rsidR="00B00BE2" w:rsidRDefault="00B00BE2" w:rsidP="00B00B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Cs/>
          <w:sz w:val="32"/>
          <w:szCs w:val="32"/>
          <w:lang w:val="uk-UA"/>
        </w:rPr>
        <w:t>штепсельна колодка пускового клапана повинна бути розташ</w:t>
      </w:r>
      <w:r>
        <w:rPr>
          <w:rFonts w:ascii="Times New Roman" w:hAnsi="Times New Roman"/>
          <w:iCs/>
          <w:sz w:val="32"/>
          <w:szCs w:val="32"/>
          <w:lang w:val="uk-UA"/>
        </w:rPr>
        <w:t>о</w:t>
      </w:r>
      <w:r>
        <w:rPr>
          <w:rFonts w:ascii="Times New Roman" w:hAnsi="Times New Roman"/>
          <w:iCs/>
          <w:sz w:val="32"/>
          <w:szCs w:val="32"/>
          <w:lang w:val="uk-UA"/>
        </w:rPr>
        <w:t>вана на призначеному місці;</w:t>
      </w:r>
    </w:p>
    <w:p w:rsidR="00B00BE2" w:rsidRDefault="00B00BE2" w:rsidP="00B00B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Cs/>
          <w:sz w:val="32"/>
          <w:szCs w:val="32"/>
          <w:lang w:val="uk-UA"/>
        </w:rPr>
        <w:t>цифровий потенціометр повинен бути приєднаний до штепс</w:t>
      </w:r>
      <w:r>
        <w:rPr>
          <w:rFonts w:ascii="Times New Roman" w:hAnsi="Times New Roman"/>
          <w:iCs/>
          <w:sz w:val="32"/>
          <w:szCs w:val="32"/>
          <w:lang w:val="uk-UA"/>
        </w:rPr>
        <w:t>е</w:t>
      </w:r>
      <w:r>
        <w:rPr>
          <w:rFonts w:ascii="Times New Roman" w:hAnsi="Times New Roman"/>
          <w:iCs/>
          <w:sz w:val="32"/>
          <w:szCs w:val="32"/>
          <w:lang w:val="uk-UA"/>
        </w:rPr>
        <w:t>льної колодки датчика температури рідини в системі охол</w:t>
      </w:r>
      <w:r>
        <w:rPr>
          <w:rFonts w:ascii="Times New Roman" w:hAnsi="Times New Roman"/>
          <w:iCs/>
          <w:sz w:val="32"/>
          <w:szCs w:val="32"/>
          <w:lang w:val="uk-UA"/>
        </w:rPr>
        <w:t>о</w:t>
      </w:r>
      <w:r>
        <w:rPr>
          <w:rFonts w:ascii="Times New Roman" w:hAnsi="Times New Roman"/>
          <w:iCs/>
          <w:sz w:val="32"/>
          <w:szCs w:val="32"/>
          <w:lang w:val="uk-UA"/>
        </w:rPr>
        <w:t>дження;</w:t>
      </w:r>
    </w:p>
    <w:p w:rsidR="00B00BE2" w:rsidRDefault="00B00BE2" w:rsidP="00B00BE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Cs/>
          <w:sz w:val="32"/>
          <w:szCs w:val="32"/>
          <w:lang w:val="uk-UA"/>
        </w:rPr>
        <w:t>штепсельна колодка клапанних форсунок повинна бути знята з бе</w:t>
      </w:r>
      <w:r>
        <w:rPr>
          <w:rFonts w:ascii="Times New Roman" w:hAnsi="Times New Roman"/>
          <w:iCs/>
          <w:sz w:val="32"/>
          <w:szCs w:val="32"/>
          <w:lang w:val="uk-UA"/>
        </w:rPr>
        <w:t>н</w:t>
      </w:r>
      <w:r>
        <w:rPr>
          <w:rFonts w:ascii="Times New Roman" w:hAnsi="Times New Roman"/>
          <w:iCs/>
          <w:sz w:val="32"/>
          <w:szCs w:val="32"/>
          <w:lang w:val="uk-UA"/>
        </w:rPr>
        <w:t>зорозподілювача.</w:t>
      </w:r>
    </w:p>
    <w:p w:rsidR="00B00BE2" w:rsidRDefault="00B00BE2" w:rsidP="00B00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Налаштувати блок А цифрового потенціометра V.A.G 1630 на опір 3,8 кОм.</w:t>
      </w:r>
    </w:p>
    <w:p w:rsidR="00B00BE2" w:rsidRDefault="00B00BE2" w:rsidP="00B00BE2">
      <w:pPr>
        <w:widowControl w:val="0"/>
        <w:shd w:val="clear" w:color="auto" w:fill="FFFFFF"/>
        <w:tabs>
          <w:tab w:val="left" w:pos="-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Зняти пусковий клапан і підставити під відкритий кінець пал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вопр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воду мірну посудину. Ввімкнути короткочасно стартер.</w:t>
      </w:r>
    </w:p>
    <w:p w:rsidR="00B00BE2" w:rsidRDefault="00B00BE2" w:rsidP="00B00BE2">
      <w:pPr>
        <w:widowControl w:val="0"/>
        <w:shd w:val="clear" w:color="auto" w:fill="FFFFFF"/>
        <w:tabs>
          <w:tab w:val="left" w:pos="-22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Пусковий клапан, за час роботи від 1 до 4 с, повинен забезп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чити рівномірний за формою струмінь палива. Просушити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ку пуск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вого клапана. Протягом хвилини із клапана не повинно впасти жодної крапл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ни палива. Не допускається також наявність палива на зовнішніх повер</w:t>
      </w:r>
      <w:r>
        <w:rPr>
          <w:rFonts w:ascii="Times New Roman" w:hAnsi="Times New Roman"/>
          <w:sz w:val="32"/>
          <w:szCs w:val="32"/>
          <w:lang w:val="uk-UA"/>
        </w:rPr>
        <w:t>х</w:t>
      </w:r>
      <w:r>
        <w:rPr>
          <w:rFonts w:ascii="Times New Roman" w:hAnsi="Times New Roman"/>
          <w:sz w:val="32"/>
          <w:szCs w:val="32"/>
          <w:lang w:val="uk-UA"/>
        </w:rPr>
        <w:t>нях клапана.</w:t>
      </w:r>
    </w:p>
    <w:p w:rsidR="00B00BE2" w:rsidRDefault="00B00BE2" w:rsidP="00B00BE2">
      <w:pPr>
        <w:widowControl w:val="0"/>
        <w:shd w:val="clear" w:color="auto" w:fill="FFFFFF"/>
        <w:tabs>
          <w:tab w:val="left" w:pos="-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Відімкнути запалювання. Відімкнути раніше підключені пр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лади. Підключити раніше зняті штепсельні колодки.</w:t>
      </w:r>
    </w:p>
    <w:p w:rsidR="00B00BE2" w:rsidRDefault="00B00BE2" w:rsidP="00B00BE2">
      <w:pPr>
        <w:widowControl w:val="0"/>
        <w:shd w:val="clear" w:color="auto" w:fill="FFFFFF"/>
        <w:tabs>
          <w:tab w:val="left" w:pos="-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00BE2" w:rsidRDefault="00B00BE2" w:rsidP="00B00B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B00BE2" w:rsidRDefault="00B00BE2" w:rsidP="00B00BE2">
      <w:pPr>
        <w:widowControl w:val="0"/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00BE2" w:rsidRDefault="00B00BE2" w:rsidP="00B00BE2">
      <w:pPr>
        <w:widowControl w:val="0"/>
        <w:numPr>
          <w:ilvl w:val="0"/>
          <w:numId w:val="4"/>
        </w:numPr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переваги мають двигуни із системами впорскування перед карбюраторними?</w:t>
      </w:r>
    </w:p>
    <w:p w:rsidR="00B00BE2" w:rsidRDefault="00B00BE2" w:rsidP="00B00BE2">
      <w:pPr>
        <w:widowControl w:val="0"/>
        <w:numPr>
          <w:ilvl w:val="0"/>
          <w:numId w:val="4"/>
        </w:numPr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Яких правил виробничої гігієни необхідно дотримуватися під час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боти із системою живлення та впорскування палива?</w:t>
      </w:r>
    </w:p>
    <w:p w:rsidR="00ED54DD" w:rsidRDefault="00B00BE2" w:rsidP="00B00BE2">
      <w:r>
        <w:rPr>
          <w:rFonts w:ascii="Times New Roman" w:hAnsi="Times New Roman"/>
          <w:sz w:val="32"/>
          <w:szCs w:val="32"/>
          <w:lang w:val="uk-UA"/>
        </w:rPr>
        <w:t>Які основні призначення елементів системи впорскування (рис.27.1)?</w:t>
      </w:r>
    </w:p>
    <w:sectPr w:rsidR="00ED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4AEE"/>
    <w:multiLevelType w:val="hybridMultilevel"/>
    <w:tmpl w:val="B61E2680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57A8B"/>
    <w:multiLevelType w:val="hybridMultilevel"/>
    <w:tmpl w:val="15E2D1C6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C701C4"/>
    <w:multiLevelType w:val="hybridMultilevel"/>
    <w:tmpl w:val="BC82747A"/>
    <w:lvl w:ilvl="0" w:tplc="1876E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C2419"/>
    <w:multiLevelType w:val="hybridMultilevel"/>
    <w:tmpl w:val="0F941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E2"/>
    <w:rsid w:val="00B00BE2"/>
    <w:rsid w:val="00E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218A-5558-479B-8476-F47F1F08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2016-02-23T10:22:00Z</dcterms:created>
  <dcterms:modified xsi:type="dcterms:W3CDTF">2016-02-23T10:24:00Z</dcterms:modified>
</cp:coreProperties>
</file>