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 25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ПЕРЕВІРКА ТА РЕГУЛЮВАННЯ ХОЛОСТОГО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ХОДУ ДВИГУНА АВТОМОБІЛЯ VW–GOLF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36"/>
          <w:szCs w:val="36"/>
          <w:lang w:val="uk-UA"/>
        </w:rPr>
      </w:pPr>
      <w:r>
        <w:rPr>
          <w:rFonts w:ascii="Times New Roman" w:hAnsi="Times New Roman"/>
          <w:b/>
          <w:iCs/>
          <w:sz w:val="36"/>
          <w:szCs w:val="36"/>
          <w:lang w:val="uk-UA"/>
        </w:rPr>
        <w:t>Мета роботи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Засвоїти способи та практичні прийоми перевірки та регул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вання системи холостого ходу двигуна. Ознайомитися з симптом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ми неспра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ностей і навчитися усувати ці несправності.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Автомобіль VW–Golf.</w:t>
      </w:r>
    </w:p>
    <w:p w:rsidR="00C5466C" w:rsidRDefault="00C5466C" w:rsidP="00C546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Плакати та схеми.</w:t>
      </w:r>
    </w:p>
    <w:p w:rsidR="00C5466C" w:rsidRDefault="00C5466C" w:rsidP="00C546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Газоаналізатор Urex 3110.</w:t>
      </w:r>
    </w:p>
    <w:p w:rsidR="00C5466C" w:rsidRDefault="00C5466C" w:rsidP="00C546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Тахометр цифровий.</w:t>
      </w:r>
    </w:p>
    <w:p w:rsidR="00C5466C" w:rsidRDefault="00C5466C" w:rsidP="00C546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Комплект допоміжних проводів.</w:t>
      </w:r>
    </w:p>
    <w:p w:rsidR="00C5466C" w:rsidRDefault="00C5466C" w:rsidP="00C546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Світлодіодний пробник.</w:t>
      </w:r>
    </w:p>
    <w:p w:rsidR="00C5466C" w:rsidRDefault="00C5466C" w:rsidP="00C546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Мультиметр цифровий.</w:t>
      </w:r>
    </w:p>
    <w:p w:rsidR="00C5466C" w:rsidRDefault="00C5466C" w:rsidP="00C5466C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Зміст і порядок виконання роботи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Спочатку наведемо узагальнену характеристику відомості компле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сної системи керування двигуном « Digifant».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розроблена фірмою «VW» і встановлюється на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ни з літерним позначенням РВ, PF, PG, GT і 2Е. Електронний блок одночасно здійснює керування запалюванням і впорскуванням. С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стема впорскування в основному відповідає системі L–Jetronic фі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ми «Bosch».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Розташування основних елементів комплексної системи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двигуном (КСКД) «Digifant» представлена на рис.25.1.</w:t>
      </w:r>
    </w:p>
    <w:p w:rsidR="00C5466C" w:rsidRPr="00456A4D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Підсистема керування впорскуванням палива КСКД «Digifant» розроблена на базі системи розподіленого (багаточкового) впорск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вання з електронним керуванням «LE–Jetronic» фірми Bosch і являє собою систему переривчастого впорскування палива (два рази за один оберт колінчатого вала) низького тиску. </w:t>
      </w: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11"/>
        <w:jc w:val="center"/>
        <w:rPr>
          <w:rFonts w:ascii="Times New Roman" w:hAnsi="Times New Roman"/>
          <w:sz w:val="28"/>
          <w:szCs w:val="28"/>
          <w:lang w:val="uk-UA"/>
        </w:rPr>
      </w:pPr>
      <w:r w:rsidRPr="001E1BA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8310" cy="4012565"/>
            <wp:effectExtent l="0" t="0" r="889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Рис.25.1. Розміщення компонентів системи </w:t>
      </w:r>
      <w:r>
        <w:rPr>
          <w:rFonts w:ascii="Times New Roman" w:hAnsi="Times New Roman"/>
          <w:bCs/>
          <w:sz w:val="28"/>
          <w:szCs w:val="28"/>
          <w:lang w:val="uk-UA"/>
        </w:rPr>
        <w:t>«Digifant»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автомобілі:</w:t>
      </w:r>
    </w:p>
    <w:p w:rsidR="00C5466C" w:rsidRPr="001E1BAE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– чотириконтактне штепсельне роз’єднання, яке призначене для підключе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ня ки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невого датчика (G39), роз’єднання перебуває в правій опорі двигуна; 2 – клапан, що регулює тиск у системі вентиляції картера;</w:t>
      </w:r>
      <w:r w:rsidRPr="001E1B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 – потенціометри</w:t>
      </w:r>
      <w:r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ний датчик (С60) кута відкриття дросельної заслінки;</w:t>
      </w:r>
      <w:r w:rsidRPr="001E1B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 – патрубок камери дросельної заслінки; 5 – автор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гулятор (Л 60) систем впорскування палива та зап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лювання суміші «Diglfant»; 6 – впускний колектор; 7 – пусковий клапан (N17); 8 – газоконтрольна трубка; 9 – регулятор тиску палива;</w:t>
      </w:r>
      <w:r w:rsidRPr="001E1B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 – бензоро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поділ</w:t>
      </w:r>
      <w:r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вач; 11 – клапанні форсунки (N30 – N33);</w:t>
      </w:r>
      <w:r w:rsidRPr="001E1B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12 – </w:t>
      </w:r>
      <w:r>
        <w:rPr>
          <w:rFonts w:ascii="Times New Roman" w:hAnsi="Times New Roman"/>
          <w:sz w:val="28"/>
          <w:szCs w:val="28"/>
          <w:lang w:val="uk-UA"/>
        </w:rPr>
        <w:t>трансформатор високої напр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ги (N13 2); 13– клапан (N71) стабілізації режиму холостого ходу; </w:t>
      </w:r>
      <w:r>
        <w:rPr>
          <w:rFonts w:ascii="Times New Roman" w:hAnsi="Times New Roman"/>
          <w:iCs/>
          <w:sz w:val="28"/>
          <w:szCs w:val="28"/>
          <w:lang w:val="uk-UA"/>
        </w:rPr>
        <w:t>14 – розподільник</w:t>
      </w:r>
      <w:r>
        <w:rPr>
          <w:rFonts w:ascii="Times New Roman" w:hAnsi="Times New Roman"/>
          <w:sz w:val="28"/>
          <w:szCs w:val="28"/>
          <w:lang w:val="uk-UA"/>
        </w:rPr>
        <w:t xml:space="preserve"> запалювання; 15– датчик (G62) температури 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дини в системі охолодження, прилад сполучений з датчиком (G2) покажчика температури рідини в системі охолодження; 16 – 1–й датчик детонаційного згоряння (G61); 17 – контакт для підключення до «маси»; 18 – повітрезабірний шланг; 19 – 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гулятор температури, призначений для підігрівника усмоктуваного повітря; 20 – витратомір повітря, який комплектується датчиком (G42) температури усмоктуван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го повітря та потен–ціометром (G19); 21 – повітряний фільтр; 22 – елек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ромагнітний клапан (N80) вугільного фільтра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Основними параметрами системи, що визначають кількість паливно–повітряної суміші, є частота обертання колінчатого вала і кількість повітря, що надх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дить до двигуна.</w:t>
      </w:r>
    </w:p>
    <w:p w:rsidR="00C5466C" w:rsidRPr="001E1BAE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Паливо відбирається електричним заглибним роликовим нас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сом, розташованим у паливному баку в одному блоці з датчиком р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вня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ва.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Марка та каталожний номер паливного насоса: Bosch О 580 453 012.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Паливо крізь фільтр марки Bosch, розташований у задній ча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тині автомобіля, подається до форсунок. Тиск палива, що підв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диться до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нок, підтримується на заданому рівні залежно від тиску у впускному трубопроводі регулятором тиску палива, відт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рованому на тиск 0,3 МПа.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Подача необхідної кількості палива і підтримка постійної як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сті робочої суміші забезпечуються контролером, що отримує та 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робляє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ступну інформацію:</w:t>
      </w:r>
    </w:p>
    <w:p w:rsidR="00C5466C" w:rsidRDefault="00C5466C" w:rsidP="00C546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кількість і температура усмоктуваного повітря;</w:t>
      </w:r>
    </w:p>
    <w:p w:rsidR="00C5466C" w:rsidRDefault="00C5466C" w:rsidP="00C546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частота обертання та кутове положення колінчатого вала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гуна;</w:t>
      </w:r>
    </w:p>
    <w:p w:rsidR="00C5466C" w:rsidRDefault="00C5466C" w:rsidP="00C546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температура охолоджувальної рідини;</w:t>
      </w:r>
    </w:p>
    <w:p w:rsidR="00C5466C" w:rsidRDefault="00C5466C" w:rsidP="00C5466C">
      <w:pPr>
        <w:widowControl w:val="0"/>
        <w:numPr>
          <w:ilvl w:val="1"/>
          <w:numId w:val="2"/>
        </w:numPr>
        <w:shd w:val="clear" w:color="auto" w:fill="FFFFFF"/>
        <w:tabs>
          <w:tab w:val="left" w:pos="3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положення дросельної заслінки (для визначення режиму роботи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гуна).</w:t>
      </w:r>
    </w:p>
    <w:p w:rsidR="00C5466C" w:rsidRDefault="00C5466C" w:rsidP="00C5466C">
      <w:pPr>
        <w:widowControl w:val="0"/>
        <w:shd w:val="clear" w:color="auto" w:fill="FFFFFF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автомобілях із двигуном «РВ» і двигуном «2Е» без катал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тичного нейтралізатора контролер розташований у моторному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сіку за підсил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вачем щита передка.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Марка й каталожний №: автомобілі з механічною коробкою передач: Bosch О 261 200 298; автомобілі з автоматичною трансм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сією: Bosch О 261 200 299. На автомобілях із двигуном «2Е» з кат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літичним нейтралізатором контролер розташований під панеллю приладів прав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руч. Марка і тип VW Audi Digifant DFI. Залежно від отриманих сигналів контролер здійснює одночасне керування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криттям форсунок, які розпорошують паливо перед впускними кл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панами.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запобігання підсмоктування повітря вимірником витрати пові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ря передбачена повна герметичність усього повітряного тракту подачі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вітря у двигун. 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очищення повітря,що надходить до циліндрів передбачено повітряний фільтр із сухим паперовим змінним елементом марки Мапп С 31152, з підігрівником надходячого повітря, заслінка якого відкривається при температурі повітря вище 30°С и закривається при температурі повітря нижче 20°С. Періодичність заміни змінн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го елемента: через кожні </w:t>
      </w:r>
      <w:smartTag w:uri="urn:schemas-microsoft-com:office:smarttags" w:element="metricconverter">
        <w:smartTagPr>
          <w:attr w:name="ProductID" w:val="30000 км"/>
        </w:smartTagPr>
        <w:r>
          <w:rPr>
            <w:rFonts w:ascii="Times New Roman" w:hAnsi="Times New Roman"/>
            <w:sz w:val="32"/>
            <w:szCs w:val="32"/>
            <w:lang w:val="uk-UA"/>
          </w:rPr>
          <w:t>30000 км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 пробігу.</w:t>
      </w: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При роботі двигуна на холостій ході контролер отримує сигнал частоти обертання колінчатого вала від датчика Холла, вмонтован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в розподільник запалювання, а також сигнал навантаження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гуна від вимикача холостого ходу та вимикача повного навантаже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(двигун «РВ») або датчика положення дросельної заслінки (дв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 «2Е») і порівнює отриману інформацію із запрограмованим зн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ченням частоти об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ртання колінчатого вала під час холостої ходи. На двигуні «2Е» датчик положення дросельної заслінки потенці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метричного типу, розміщений на осі др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сельної заслінки. Він видає на контролер сигнал щодо навантаження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гуна. На двигуні «РВ» датчики позиційного типу встановлені на осі др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сельної заслінки. Сигнали з датчиків служать для визначення режиму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боти двигуна (холоста хода або повний дросель). При відхиленні частоти обе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тання колінчатого вала від запрограмованої величини контролер збільшує або зменшує струм сигналу керування, що подається на електром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гнітний клапан стабілізації холостої ходи, шток якого відповідним чином змінює прохідний перетин обхідного каналу, виконаного паралельно дросельній заслінці. Це приводить до відп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відного збільшення або зменше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обертів холостої ходи.</w:t>
      </w:r>
    </w:p>
    <w:p w:rsidR="00C5466C" w:rsidRPr="00D95FA9" w:rsidRDefault="00C5466C" w:rsidP="00C5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C5466C" w:rsidRDefault="00C5466C" w:rsidP="00C5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Порядок виконання роботи, перевірка та регулювання </w:t>
      </w:r>
    </w:p>
    <w:p w:rsidR="00C5466C" w:rsidRDefault="00C5466C" w:rsidP="00C5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холо</w:t>
      </w:r>
      <w:r>
        <w:rPr>
          <w:rFonts w:ascii="Times New Roman" w:hAnsi="Times New Roman"/>
          <w:b/>
          <w:sz w:val="36"/>
          <w:szCs w:val="36"/>
          <w:lang w:val="uk-UA"/>
        </w:rPr>
        <w:t>с</w:t>
      </w:r>
      <w:r>
        <w:rPr>
          <w:rFonts w:ascii="Times New Roman" w:hAnsi="Times New Roman"/>
          <w:b/>
          <w:sz w:val="36"/>
          <w:szCs w:val="36"/>
          <w:lang w:val="uk-UA"/>
        </w:rPr>
        <w:t>тої ходи двигуна</w:t>
      </w:r>
    </w:p>
    <w:p w:rsidR="00C5466C" w:rsidRPr="00D95FA9" w:rsidRDefault="00C5466C" w:rsidP="00C54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Перед регулюванням і перевіркою холостої ходи двигуна 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обхі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но:</w:t>
      </w:r>
    </w:p>
    <w:p w:rsidR="00C5466C" w:rsidRDefault="00C5466C" w:rsidP="00C5466C">
      <w:pPr>
        <w:widowControl w:val="0"/>
        <w:numPr>
          <w:ilvl w:val="0"/>
          <w:numId w:val="3"/>
        </w:numPr>
        <w:shd w:val="clear" w:color="auto" w:fill="FFFFFF"/>
        <w:tabs>
          <w:tab w:val="left" w:pos="-6379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прогріти двигун (температура масла не менш 80°С);</w:t>
      </w:r>
    </w:p>
    <w:p w:rsidR="00C5466C" w:rsidRDefault="00C5466C" w:rsidP="00C5466C">
      <w:pPr>
        <w:widowControl w:val="0"/>
        <w:numPr>
          <w:ilvl w:val="0"/>
          <w:numId w:val="3"/>
        </w:numPr>
        <w:shd w:val="clear" w:color="auto" w:fill="FFFFFF"/>
        <w:tabs>
          <w:tab w:val="left" w:pos="-6379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відімкнути споживачі електроенергії, у тому числі кондиціонер, я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що він передбачений;</w:t>
      </w:r>
    </w:p>
    <w:p w:rsidR="00C5466C" w:rsidRDefault="00C5466C" w:rsidP="00C5466C">
      <w:pPr>
        <w:widowControl w:val="0"/>
        <w:numPr>
          <w:ilvl w:val="0"/>
          <w:numId w:val="3"/>
        </w:numPr>
        <w:shd w:val="clear" w:color="auto" w:fill="FFFFFF"/>
        <w:tabs>
          <w:tab w:val="left" w:pos="-6379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переконатися в справності технічного стану вимикачів холостої 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 і повного навантаження та датчика положення дросельної заслінки (кут випередження запалювання і частота обертання колінчатого вала повинні змінитися при роз’єднанні рознімання вимикачів або датч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ка);</w:t>
      </w:r>
    </w:p>
    <w:p w:rsidR="00C5466C" w:rsidRDefault="00C5466C" w:rsidP="00C5466C">
      <w:pPr>
        <w:widowControl w:val="0"/>
        <w:numPr>
          <w:ilvl w:val="0"/>
          <w:numId w:val="3"/>
        </w:numPr>
        <w:shd w:val="clear" w:color="auto" w:fill="FFFFFF"/>
        <w:tabs>
          <w:tab w:val="left" w:pos="-6379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переконатися в правильності виставлення кута випередження запалювання і зазору між електродами свіч запалювання;</w:t>
      </w:r>
    </w:p>
    <w:p w:rsidR="00C5466C" w:rsidRDefault="00C5466C" w:rsidP="00C5466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переконатися в працездатності електромагнітного клапана: при вм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канні запалювання клапан повинен вібрувати і гудіти.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Електровентилятор системи охолодження при перевірці вм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кати не потрібно.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Приєднати контрольний тахометр (відповідно до інструкції з експлуатації) та газоаналізатор до трубки А (рис.25.2) виміру вмі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ту окису вуглецю (СО) у відпрацьованих газах.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11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616960" cy="234759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Рис.25.2. Приєднання газоаналізатора на двигуні «РВ»: А – шланг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газоаналізатора, приєднаний до трубки виміру СО; Б – роз’єднаний і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заглушений шланг вентиляції картера</w:t>
      </w:r>
    </w:p>
    <w:p w:rsidR="00C5466C" w:rsidRDefault="00C5466C" w:rsidP="00C5466C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Роз’єднати</w:t>
      </w:r>
      <w:r>
        <w:rPr>
          <w:rFonts w:ascii="Times New Roman" w:hAnsi="Times New Roman"/>
          <w:sz w:val="32"/>
          <w:szCs w:val="32"/>
          <w:lang w:val="uk-UA"/>
        </w:rPr>
        <w:t xml:space="preserve"> шланг вентиляції картера Б (рис.25.2 на двигуні «РВ») або 3 (рис.25.3 на двигуні «2Е») і заглушити його.</w:t>
      </w:r>
    </w:p>
    <w:p w:rsidR="00C5466C" w:rsidRDefault="00C5466C" w:rsidP="00C5466C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Запустити двигун на холостій ході і дати йому попрацювати близ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ко 1хв.</w:t>
      </w:r>
    </w:p>
    <w:p w:rsidR="00C5466C" w:rsidRDefault="00C5466C" w:rsidP="00C5466C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Роз’єднати розйоми блакитних кольорів 2 (рис.25.3) датчика темп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ратури охолоджувальної рідини, потім три рази послідовно збільшити ч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стоту обертання колінчатого вала до величини понад 3000 хв</w:t>
      </w:r>
      <w:r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>
        <w:rPr>
          <w:rFonts w:ascii="Times New Roman" w:hAnsi="Times New Roman"/>
          <w:sz w:val="32"/>
          <w:szCs w:val="32"/>
          <w:lang w:val="uk-UA"/>
        </w:rPr>
        <w:t xml:space="preserve"> і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лишити двигун працювати на холостій ході.</w:t>
      </w:r>
    </w:p>
    <w:p w:rsidR="00C5466C" w:rsidRDefault="00C5466C" w:rsidP="00C5466C">
      <w:pPr>
        <w:widowControl w:val="0"/>
        <w:shd w:val="clear" w:color="auto" w:fill="FFFFFF"/>
        <w:tabs>
          <w:tab w:val="left" w:pos="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Перевірити частоту обертання колінчатого вала на холостій ході і вміст СО у відпрацьованих газах, які відповідно повинні бути в межах 750...850 хв</w:t>
      </w:r>
      <w:r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>
        <w:rPr>
          <w:rFonts w:ascii="Times New Roman" w:hAnsi="Times New Roman"/>
          <w:sz w:val="32"/>
          <w:szCs w:val="32"/>
          <w:lang w:val="uk-UA"/>
        </w:rPr>
        <w:t xml:space="preserve"> і 0,5...1,5%. Якщо отримані значення не укл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даються в зазначені межі, вийняти заглушки з регулювальних гви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тів холостого ходу і, по черзі обертаючи гвинт повітря холостої 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 (для регулювання числа обертів холостої ходи)і гвинт корекції СО (рис.25.4 і 25.5), домогтися 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обхідних значень.</w:t>
      </w:r>
    </w:p>
    <w:p w:rsidR="00C5466C" w:rsidRPr="00D47107" w:rsidRDefault="00C5466C" w:rsidP="00C5466C">
      <w:pPr>
        <w:widowControl w:val="0"/>
        <w:shd w:val="clear" w:color="auto" w:fill="FFFFFF"/>
        <w:tabs>
          <w:tab w:val="left" w:pos="-7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6675" cy="20745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Рис.25.3. Перевірка та регулювання холостої ходи двигуна «РВ»: 1 – місце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від’єднання шланга вентиляції картера; 2 – рознімання блакитних кольорів 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тчика температури охолоджувальної рідини підсистеми керування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впорскуванням палива</w:t>
      </w:r>
    </w:p>
    <w:p w:rsidR="00C5466C" w:rsidRPr="00D47107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5466C" w:rsidRDefault="00C5466C" w:rsidP="00C5466C">
      <w:pPr>
        <w:widowControl w:val="0"/>
        <w:shd w:val="clear" w:color="auto" w:fill="FFFFFF"/>
        <w:tabs>
          <w:tab w:val="left" w:pos="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Після регулювання приєднати шланг вентиляції картера та з’єднати розєми датчика температури охолоджувальної рідини пі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системи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впорскуванням палива, поставити нові заглушки на регулювальні гвинти холостого ходу. Натиснути декілька разів на педаль акселератора і знову перевірити оберти холостої ходи, які повинні перебувати в нео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хідних межах.</w:t>
      </w:r>
    </w:p>
    <w:p w:rsidR="00C5466C" w:rsidRDefault="00C5466C" w:rsidP="00C5466C">
      <w:pPr>
        <w:widowControl w:val="0"/>
        <w:shd w:val="clear" w:color="auto" w:fill="FFFFFF"/>
        <w:tabs>
          <w:tab w:val="left" w:pos="-7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Відокремити вакуумний шланг регулятора тиску палива від патру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ка корпуса дросельної заслінки і закрити отвір патрубка. Вміст СО при цьому повинен спочатку короткочасно підвищитися, а потім знизитися. Після цього приєднується шланг.</w:t>
      </w:r>
    </w:p>
    <w:p w:rsidR="00C5466C" w:rsidRDefault="00C5466C" w:rsidP="00C5466C">
      <w:pPr>
        <w:widowControl w:val="0"/>
        <w:shd w:val="clear" w:color="auto" w:fill="FFFFFF"/>
        <w:tabs>
          <w:tab w:val="left" w:pos="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hanging="11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721860" cy="18561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Рис.25.4. Регулювання холостої ходи двигуна «РВ»: 1 – регулювальний гвинт 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ря холостого ходу (для регулювання числа обертів холостого ходу);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– гвинт корекції СО</w:t>
      </w:r>
    </w:p>
    <w:p w:rsidR="00C5466C" w:rsidRDefault="00C5466C" w:rsidP="00C5466C">
      <w:pPr>
        <w:widowControl w:val="0"/>
        <w:shd w:val="clear" w:color="auto" w:fill="FFFFFF"/>
        <w:tabs>
          <w:tab w:val="left" w:pos="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11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27320" cy="196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Рис.25.5. Регулювання холостої ходи двигуна «2Е»: 1 – регулювальний гвинт 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ря холостого ходу (для регулювання числа обертів холостого ходу); 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– гвинт корекції СО; 3 – шланг вентиляції картера, що від’єднується при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регулюванні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086F">
        <w:rPr>
          <w:rFonts w:ascii="Times New Roman" w:hAnsi="Times New Roman"/>
          <w:b/>
          <w:i/>
          <w:sz w:val="28"/>
          <w:szCs w:val="28"/>
          <w:lang w:val="uk-UA"/>
        </w:rPr>
        <w:t>Примітка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На двигуні «2Е» з каталітичним нейтралізатором відпр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цьованих газів, частота обертання колінчатого вала двигуна на холостому х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ду і вміст СО автоматично підтримуються в заданих межах за командами 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нтр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лера.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Перевірка електромагнітного клапана стабілізації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холостої ходи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Перевірка працездатності електромагнітного клапана стабіл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зації холостої ходи здійснюється на прогрітому двигуні (температ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ра масла не вище 80°С), при правильно відрегульованій холостій ході двигуна, справному датчику температури охолоджувальної р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дини підсистеми керува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впорскуванням палива, при відсутності підсмоктування повітря у вп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скному тракті двигуна.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Ввімкнути запалювання. Якщо клапан стабілізації холостої 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 справний, то він повинен вібрувати та гудіти. Якщо цього не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бувається, роз’єднати розйоми (рис.25.6) клапана і виміряти опір обмотки клап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на, підключивши омметр до виводів колодки клапана. Для двигуна «РВ» він повинен бути в межах 3,5...4,5 Ом, для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на «2Е» 2...10 Ом. Якщо отримане значення не відповідає заданому, клапани підлягають заміні. Перевірити цілісність ланцюга між кл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паном і контролером, приєднуючи омметр до виводів сполучної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лодки. Якщо ланцюг ушк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джений, слід замінити контролер.</w:t>
      </w: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11"/>
        <w:jc w:val="center"/>
        <w:rPr>
          <w:rFonts w:ascii="Times New Roman" w:hAnsi="Times New Roman"/>
          <w:sz w:val="28"/>
          <w:szCs w:val="28"/>
          <w:lang w:val="uk-UA"/>
        </w:rPr>
      </w:pPr>
      <w:r w:rsidRPr="0057681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0150" cy="18421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6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6C" w:rsidRDefault="00C5466C" w:rsidP="00C5466C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Рис.25.6. Перевірка електромагнітного клапана стабілізації холостої ходи (стрілкою показане рознімання клапана)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66C" w:rsidRDefault="00C5466C" w:rsidP="00C5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Перевірити керуючий струм клапана. Для цього з’єднати вив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 колодки клапана і сполучної колодки перемичками та підключ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ти до них амперметр.</w:t>
      </w:r>
    </w:p>
    <w:p w:rsidR="00C5466C" w:rsidRDefault="00C5466C" w:rsidP="00C5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Запустити двигун на холостій ході і через приблизно 1 хв. Тричі 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вести число обертів двигуна до більш ніж 3000 хв</w:t>
      </w:r>
      <w:r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C5466C" w:rsidRDefault="00C5466C" w:rsidP="00C5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Виміряти керуючий струм на холостій ході, який залежно від навантаження двигуна повинен бути в межах 400...1000 мА для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гуна «РВ» і 400...650 мА для двигуна «2Е».</w:t>
      </w:r>
    </w:p>
    <w:p w:rsidR="00C5466C" w:rsidRDefault="00C5466C" w:rsidP="00C5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Роз’єднати розєми датчика температури охолоджувальної р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дини підсистеми керування впорскуванням палива і виміряти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ючий струм клапана, який повинен бути в межах 420±30 мА. Якщо отримане значе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керуючого струму клапана не відповідає нормі, замінити контролер.</w:t>
      </w:r>
    </w:p>
    <w:p w:rsidR="00C5466C" w:rsidRDefault="00C5466C" w:rsidP="00C5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Після виконання вимірів приєднати усе раніше зняті розєми та па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рубки.</w:t>
      </w:r>
    </w:p>
    <w:p w:rsidR="00C5466C" w:rsidRPr="00D95FA9" w:rsidRDefault="00C5466C" w:rsidP="00C5466C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5466C" w:rsidRDefault="00C5466C" w:rsidP="00C5466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Контрольні запитання</w:t>
      </w:r>
    </w:p>
    <w:p w:rsidR="00C5466C" w:rsidRDefault="00C5466C" w:rsidP="00C546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466C" w:rsidRDefault="00C5466C" w:rsidP="00C5466C">
      <w:pPr>
        <w:widowControl w:val="0"/>
        <w:numPr>
          <w:ilvl w:val="0"/>
          <w:numId w:val="4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переваги двигунів із системами впорскування перед карб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рато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ними двигунами?</w:t>
      </w:r>
    </w:p>
    <w:p w:rsidR="00C5466C" w:rsidRDefault="00C5466C" w:rsidP="00C5466C">
      <w:pPr>
        <w:widowControl w:val="0"/>
        <w:numPr>
          <w:ilvl w:val="0"/>
          <w:numId w:val="4"/>
        </w:numPr>
        <w:shd w:val="clear" w:color="auto" w:fill="FFFFFF"/>
        <w:tabs>
          <w:tab w:val="left" w:pos="-7371"/>
          <w:tab w:val="left" w:pos="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Яке призначення основних елементів системи впорскування (рис.25.1)?</w:t>
      </w:r>
    </w:p>
    <w:p w:rsidR="00C5466C" w:rsidRDefault="00C5466C" w:rsidP="00C5466C">
      <w:pPr>
        <w:widowControl w:val="0"/>
        <w:numPr>
          <w:ilvl w:val="0"/>
          <w:numId w:val="4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операції необхідно виконати перед регулюванням і перев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ркою холостої ходи двигуна?</w:t>
      </w:r>
    </w:p>
    <w:p w:rsidR="00C5466C" w:rsidRDefault="00C5466C" w:rsidP="00C5466C">
      <w:pPr>
        <w:widowControl w:val="0"/>
        <w:numPr>
          <w:ilvl w:val="0"/>
          <w:numId w:val="4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Яких правил виробничої гігієни необхідно дотримуватися при роб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тах із системи живлення та впорскування палива?</w:t>
      </w:r>
    </w:p>
    <w:p w:rsidR="00E96627" w:rsidRDefault="00C5466C" w:rsidP="00C5466C">
      <w:r>
        <w:rPr>
          <w:rFonts w:ascii="Times New Roman" w:hAnsi="Times New Roman"/>
          <w:sz w:val="32"/>
          <w:szCs w:val="32"/>
          <w:lang w:val="uk-UA"/>
        </w:rPr>
        <w:t>Якими мають бути величина частоти обертання колінчатого вала на холостій ході та межі вмісту СО у відпрацьованих г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зах?</w:t>
      </w:r>
      <w:bookmarkStart w:id="0" w:name="_GoBack"/>
      <w:bookmarkEnd w:id="0"/>
    </w:p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7719"/>
    <w:multiLevelType w:val="hybridMultilevel"/>
    <w:tmpl w:val="74B4A268"/>
    <w:lvl w:ilvl="0" w:tplc="710E8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F469B"/>
    <w:multiLevelType w:val="hybridMultilevel"/>
    <w:tmpl w:val="CD4A0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136A5"/>
    <w:multiLevelType w:val="hybridMultilevel"/>
    <w:tmpl w:val="1C86A574"/>
    <w:lvl w:ilvl="0" w:tplc="710E8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3DAACF2">
      <w:numFmt w:val="bullet"/>
      <w:lvlText w:val="–"/>
      <w:lvlJc w:val="left"/>
      <w:pPr>
        <w:ind w:left="2779" w:hanging="99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D71F8"/>
    <w:multiLevelType w:val="hybridMultilevel"/>
    <w:tmpl w:val="69F40ED0"/>
    <w:lvl w:ilvl="0" w:tplc="A478415A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6C"/>
    <w:rsid w:val="001023D7"/>
    <w:rsid w:val="004916D8"/>
    <w:rsid w:val="009A457D"/>
    <w:rsid w:val="009C1396"/>
    <w:rsid w:val="00C5466C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C558E-45B1-4CDA-B2D7-3EF130BF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6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1749</Words>
  <Characters>9975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2016-01-30T13:28:00Z</dcterms:created>
  <dcterms:modified xsi:type="dcterms:W3CDTF">2016-01-30T13:28:00Z</dcterms:modified>
</cp:coreProperties>
</file>